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2578A" w14:textId="0F403290" w:rsidR="00630DAA" w:rsidRDefault="001E1BE0" w:rsidP="001E1BE0">
      <w:pPr>
        <w:jc w:val="both"/>
        <w:rPr>
          <w:sz w:val="22"/>
          <w:szCs w:val="22"/>
        </w:rPr>
      </w:pPr>
      <w:r w:rsidRPr="000945A7">
        <w:rPr>
          <w:sz w:val="22"/>
          <w:szCs w:val="22"/>
        </w:rPr>
        <w:t>NASTAVNI ZAVOD ZA JAVNO ZDRAVSTVO ISTARSKE ŽUPANIJE</w:t>
      </w:r>
      <w:r>
        <w:rPr>
          <w:sz w:val="22"/>
          <w:szCs w:val="22"/>
        </w:rPr>
        <w:t xml:space="preserve"> </w:t>
      </w:r>
      <w:r w:rsidR="00630DAA">
        <w:rPr>
          <w:sz w:val="22"/>
          <w:szCs w:val="22"/>
        </w:rPr>
        <w:t>–</w:t>
      </w:r>
    </w:p>
    <w:p w14:paraId="4B7266CD" w14:textId="2CE0734A" w:rsidR="001E1BE0" w:rsidRPr="000945A7" w:rsidRDefault="001E1BE0" w:rsidP="001E1BE0">
      <w:pPr>
        <w:jc w:val="both"/>
        <w:rPr>
          <w:color w:val="000000"/>
          <w:sz w:val="22"/>
          <w:szCs w:val="22"/>
          <w:lang w:eastAsia="hr-HR"/>
        </w:rPr>
      </w:pPr>
      <w:r w:rsidRPr="000945A7">
        <w:rPr>
          <w:color w:val="000000"/>
          <w:sz w:val="22"/>
          <w:szCs w:val="22"/>
        </w:rPr>
        <w:t>ISTITUTO FORMATIVO DI SANITÀ PUBBLICA DELLA REGIONE ISTRIANA</w:t>
      </w:r>
    </w:p>
    <w:p w14:paraId="7EDEAB8C" w14:textId="77777777" w:rsidR="001E1BE0" w:rsidRDefault="001E1BE0" w:rsidP="001E1BE0">
      <w:pPr>
        <w:jc w:val="both"/>
        <w:rPr>
          <w:sz w:val="22"/>
          <w:szCs w:val="22"/>
        </w:rPr>
      </w:pPr>
      <w:r w:rsidRPr="005F2722">
        <w:rPr>
          <w:sz w:val="22"/>
          <w:szCs w:val="22"/>
        </w:rPr>
        <w:t>NAZOROVA 23, PULA</w:t>
      </w:r>
      <w:r>
        <w:rPr>
          <w:sz w:val="22"/>
          <w:szCs w:val="22"/>
        </w:rPr>
        <w:t xml:space="preserve">    </w:t>
      </w:r>
    </w:p>
    <w:p w14:paraId="3F681B56" w14:textId="6F45EEB1" w:rsidR="001E1BE0" w:rsidRPr="005F2722" w:rsidRDefault="001E1BE0" w:rsidP="001E1BE0">
      <w:pPr>
        <w:jc w:val="both"/>
        <w:rPr>
          <w:sz w:val="22"/>
          <w:szCs w:val="22"/>
        </w:rPr>
      </w:pPr>
      <w:r>
        <w:rPr>
          <w:sz w:val="22"/>
          <w:szCs w:val="22"/>
        </w:rPr>
        <w:t xml:space="preserve">                                                                                                                                    </w:t>
      </w:r>
      <w:r w:rsidRPr="000945A7">
        <w:t xml:space="preserve"> </w:t>
      </w:r>
      <w:r>
        <w:rPr>
          <w:sz w:val="22"/>
          <w:szCs w:val="22"/>
        </w:rPr>
        <w:t xml:space="preserve">OIB: 90629578695 </w:t>
      </w:r>
    </w:p>
    <w:p w14:paraId="551389B6" w14:textId="0751F3F8" w:rsidR="001E1BE0" w:rsidRDefault="001E1BE0" w:rsidP="001E1BE0">
      <w:pPr>
        <w:tabs>
          <w:tab w:val="left" w:pos="7380"/>
        </w:tabs>
        <w:jc w:val="both"/>
        <w:rPr>
          <w:sz w:val="22"/>
          <w:szCs w:val="22"/>
        </w:rPr>
      </w:pPr>
      <w:r>
        <w:rPr>
          <w:sz w:val="22"/>
          <w:szCs w:val="22"/>
        </w:rPr>
        <w:tab/>
        <w:t>Razina: 31</w:t>
      </w:r>
    </w:p>
    <w:p w14:paraId="5F38E163" w14:textId="2F410E86" w:rsidR="001E1BE0" w:rsidRDefault="001E1BE0" w:rsidP="001E1BE0">
      <w:pPr>
        <w:jc w:val="both"/>
        <w:rPr>
          <w:sz w:val="22"/>
          <w:szCs w:val="22"/>
        </w:rPr>
      </w:pPr>
      <w:r>
        <w:t>Djelatnost:</w:t>
      </w:r>
      <w:r w:rsidR="00D56808">
        <w:t xml:space="preserve"> </w:t>
      </w:r>
      <w:r>
        <w:t>8622</w:t>
      </w:r>
    </w:p>
    <w:p w14:paraId="17ED874A" w14:textId="6DD6F1C9" w:rsidR="001E1BE0" w:rsidRDefault="001E1BE0" w:rsidP="001E1BE0">
      <w:pPr>
        <w:jc w:val="both"/>
      </w:pPr>
      <w:r>
        <w:rPr>
          <w:sz w:val="22"/>
          <w:szCs w:val="22"/>
        </w:rPr>
        <w:t>Br.RKP:</w:t>
      </w:r>
      <w:r w:rsidR="00D56808">
        <w:rPr>
          <w:sz w:val="22"/>
          <w:szCs w:val="22"/>
        </w:rPr>
        <w:t xml:space="preserve"> </w:t>
      </w:r>
      <w:r>
        <w:rPr>
          <w:sz w:val="22"/>
          <w:szCs w:val="22"/>
        </w:rPr>
        <w:t>37092</w:t>
      </w:r>
      <w:r w:rsidRPr="000945A7">
        <w:t xml:space="preserve"> </w:t>
      </w:r>
    </w:p>
    <w:p w14:paraId="0E6BDB95" w14:textId="6A069451" w:rsidR="001E1BE0" w:rsidRDefault="001E1BE0" w:rsidP="001E1BE0">
      <w:pPr>
        <w:jc w:val="both"/>
      </w:pPr>
      <w:r>
        <w:t>Razdjel:</w:t>
      </w:r>
      <w:r w:rsidR="00D56808">
        <w:t xml:space="preserve"> </w:t>
      </w:r>
      <w:r>
        <w:t>000</w:t>
      </w:r>
    </w:p>
    <w:p w14:paraId="7694152B" w14:textId="4E5331A8" w:rsidR="00765CC5" w:rsidRDefault="00765CC5"/>
    <w:p w14:paraId="1F38C820" w14:textId="60623E7A" w:rsidR="001E1BE0" w:rsidRDefault="001E1BE0" w:rsidP="001E1BE0"/>
    <w:p w14:paraId="3403B9C5" w14:textId="224E382C" w:rsidR="001E1BE0" w:rsidRDefault="001E1BE0" w:rsidP="001E1BE0">
      <w:pPr>
        <w:tabs>
          <w:tab w:val="left" w:pos="1140"/>
        </w:tabs>
      </w:pPr>
      <w:r>
        <w:t xml:space="preserve">          IZVJEŠTAJ O IZVRŠENJU FINANCIJSKOG PLANA ZA </w:t>
      </w:r>
      <w:r w:rsidRPr="00134E68">
        <w:t>202</w:t>
      </w:r>
      <w:r w:rsidR="00323247">
        <w:t>3</w:t>
      </w:r>
      <w:r w:rsidRPr="00134E68">
        <w:t>. GODIN</w:t>
      </w:r>
      <w:r w:rsidR="00A84FBD">
        <w:t>U</w:t>
      </w:r>
    </w:p>
    <w:p w14:paraId="606D0C5B" w14:textId="527FE4E3" w:rsidR="001E1BE0" w:rsidRDefault="001E1BE0" w:rsidP="001E1BE0">
      <w:pPr>
        <w:tabs>
          <w:tab w:val="left" w:pos="1140"/>
        </w:tabs>
      </w:pPr>
    </w:p>
    <w:p w14:paraId="71644888" w14:textId="2F3F8783" w:rsidR="001E1BE0" w:rsidRDefault="001E1BE0" w:rsidP="001E1BE0">
      <w:pPr>
        <w:tabs>
          <w:tab w:val="left" w:pos="1140"/>
        </w:tabs>
      </w:pPr>
    </w:p>
    <w:p w14:paraId="333E7B0A" w14:textId="796A356F" w:rsidR="001E1BE0" w:rsidRPr="00A84FBD" w:rsidRDefault="00A84FBD" w:rsidP="001E1BE0">
      <w:pPr>
        <w:tabs>
          <w:tab w:val="left" w:pos="1140"/>
        </w:tabs>
        <w:rPr>
          <w:b/>
          <w:bCs/>
        </w:rPr>
      </w:pPr>
      <w:r w:rsidRPr="00A84FBD">
        <w:rPr>
          <w:b/>
          <w:bCs/>
        </w:rPr>
        <w:t>I OPĆI DIO</w:t>
      </w:r>
    </w:p>
    <w:p w14:paraId="47F05B43" w14:textId="2FC3D1AF" w:rsidR="008C1230" w:rsidRDefault="00A84FBD" w:rsidP="00654867">
      <w:pPr>
        <w:tabs>
          <w:tab w:val="left" w:pos="1140"/>
        </w:tabs>
        <w:jc w:val="center"/>
      </w:pPr>
      <w:r>
        <w:t>Članak 1.</w:t>
      </w:r>
    </w:p>
    <w:p w14:paraId="6E710A28" w14:textId="77777777" w:rsidR="00A84FBD" w:rsidRPr="00B573BC" w:rsidRDefault="00A84FBD" w:rsidP="00654867">
      <w:pPr>
        <w:tabs>
          <w:tab w:val="left" w:pos="1140"/>
        </w:tabs>
        <w:jc w:val="center"/>
        <w:rPr>
          <w:color w:val="FF0000"/>
        </w:rPr>
      </w:pPr>
    </w:p>
    <w:p w14:paraId="62216260" w14:textId="3EE55E7A" w:rsidR="00A84FBD" w:rsidRPr="00132884" w:rsidRDefault="00A84FBD" w:rsidP="00654867">
      <w:pPr>
        <w:tabs>
          <w:tab w:val="left" w:pos="1140"/>
        </w:tabs>
        <w:jc w:val="center"/>
        <w:rPr>
          <w:sz w:val="22"/>
          <w:szCs w:val="22"/>
        </w:rPr>
      </w:pPr>
      <w:r w:rsidRPr="00132884">
        <w:rPr>
          <w:sz w:val="22"/>
          <w:szCs w:val="22"/>
        </w:rPr>
        <w:t>SAŽETAK</w:t>
      </w:r>
      <w:r w:rsidR="00132884" w:rsidRPr="00132884">
        <w:rPr>
          <w:sz w:val="22"/>
          <w:szCs w:val="22"/>
        </w:rPr>
        <w:t xml:space="preserve"> RAČUNA PRIHODA I RASHODA I RAČUNA FINANCIRANJA</w:t>
      </w:r>
    </w:p>
    <w:p w14:paraId="6BE39EF5" w14:textId="4451E31D" w:rsidR="00A84FBD" w:rsidRDefault="00A84FBD" w:rsidP="00A84FBD">
      <w:pPr>
        <w:tabs>
          <w:tab w:val="left" w:pos="1140"/>
        </w:tabs>
        <w:rPr>
          <w:noProof/>
        </w:rPr>
      </w:pPr>
    </w:p>
    <w:p w14:paraId="7D3ED1D0" w14:textId="2920CA55" w:rsidR="00132884" w:rsidRDefault="001D1B70" w:rsidP="00A84FBD">
      <w:pPr>
        <w:tabs>
          <w:tab w:val="left" w:pos="1140"/>
        </w:tabs>
        <w:rPr>
          <w:noProof/>
        </w:rPr>
      </w:pPr>
      <w:r w:rsidRPr="001D1B70">
        <w:rPr>
          <w:noProof/>
          <w:lang w:eastAsia="hr-HR"/>
        </w:rPr>
        <w:drawing>
          <wp:inline distT="0" distB="0" distL="0" distR="0" wp14:anchorId="552E622E" wp14:editId="7406C947">
            <wp:extent cx="5759450" cy="2859405"/>
            <wp:effectExtent l="0" t="0" r="0" b="0"/>
            <wp:docPr id="21453671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859405"/>
                    </a:xfrm>
                    <a:prstGeom prst="rect">
                      <a:avLst/>
                    </a:prstGeom>
                    <a:noFill/>
                    <a:ln>
                      <a:noFill/>
                    </a:ln>
                  </pic:spPr>
                </pic:pic>
              </a:graphicData>
            </a:graphic>
          </wp:inline>
        </w:drawing>
      </w:r>
    </w:p>
    <w:p w14:paraId="3047D128" w14:textId="77777777" w:rsidR="00132884" w:rsidRDefault="00132884" w:rsidP="00A84FBD">
      <w:pPr>
        <w:tabs>
          <w:tab w:val="left" w:pos="1140"/>
        </w:tabs>
      </w:pPr>
    </w:p>
    <w:p w14:paraId="42A0751C" w14:textId="77777777" w:rsidR="00942AE4" w:rsidRDefault="00942AE4" w:rsidP="00A84FBD">
      <w:pPr>
        <w:tabs>
          <w:tab w:val="left" w:pos="1140"/>
        </w:tabs>
      </w:pPr>
    </w:p>
    <w:p w14:paraId="01F3C7F0" w14:textId="7F4C5E1F" w:rsidR="00DC300D" w:rsidRDefault="00DC300D" w:rsidP="00654867">
      <w:pPr>
        <w:pStyle w:val="ListParagraph"/>
        <w:tabs>
          <w:tab w:val="left" w:pos="1140"/>
        </w:tabs>
        <w:jc w:val="center"/>
      </w:pPr>
      <w:r>
        <w:t>Članak 2.</w:t>
      </w:r>
    </w:p>
    <w:p w14:paraId="31006552" w14:textId="77777777" w:rsidR="00DC300D" w:rsidRDefault="00DC300D" w:rsidP="004B01B8">
      <w:pPr>
        <w:pStyle w:val="ListParagraph"/>
        <w:tabs>
          <w:tab w:val="left" w:pos="1140"/>
        </w:tabs>
      </w:pPr>
    </w:p>
    <w:p w14:paraId="6DB57E37" w14:textId="2F5BC3AC" w:rsidR="00F339CE" w:rsidRDefault="00DC300D" w:rsidP="00C011B0">
      <w:pPr>
        <w:pStyle w:val="ListParagraph"/>
        <w:tabs>
          <w:tab w:val="left" w:pos="1140"/>
        </w:tabs>
        <w:jc w:val="center"/>
        <w:rPr>
          <w:sz w:val="22"/>
          <w:szCs w:val="22"/>
        </w:rPr>
      </w:pPr>
      <w:r w:rsidRPr="00615C30">
        <w:rPr>
          <w:sz w:val="22"/>
          <w:szCs w:val="22"/>
        </w:rPr>
        <w:t>RAČUN PRIHODA I RASHODA</w:t>
      </w:r>
    </w:p>
    <w:p w14:paraId="018132AF" w14:textId="77777777" w:rsidR="00132884" w:rsidRDefault="00132884" w:rsidP="00132884">
      <w:pPr>
        <w:tabs>
          <w:tab w:val="left" w:pos="1140"/>
        </w:tabs>
        <w:rPr>
          <w:sz w:val="22"/>
          <w:szCs w:val="22"/>
        </w:rPr>
      </w:pPr>
    </w:p>
    <w:p w14:paraId="729629C7" w14:textId="7F4545BE" w:rsidR="00132884" w:rsidRPr="00132884" w:rsidRDefault="00132884" w:rsidP="00132884">
      <w:pPr>
        <w:tabs>
          <w:tab w:val="left" w:pos="1140"/>
        </w:tabs>
        <w:rPr>
          <w:sz w:val="22"/>
          <w:szCs w:val="22"/>
        </w:rPr>
      </w:pPr>
      <w:r w:rsidRPr="00132884">
        <w:rPr>
          <w:noProof/>
          <w:lang w:eastAsia="hr-HR"/>
        </w:rPr>
        <w:drawing>
          <wp:inline distT="0" distB="0" distL="0" distR="0" wp14:anchorId="27EF3F63" wp14:editId="5DA9C7F1">
            <wp:extent cx="5759450" cy="1732280"/>
            <wp:effectExtent l="0" t="0" r="0" b="1270"/>
            <wp:docPr id="65347888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732280"/>
                    </a:xfrm>
                    <a:prstGeom prst="rect">
                      <a:avLst/>
                    </a:prstGeom>
                    <a:noFill/>
                    <a:ln>
                      <a:noFill/>
                    </a:ln>
                  </pic:spPr>
                </pic:pic>
              </a:graphicData>
            </a:graphic>
          </wp:inline>
        </w:drawing>
      </w:r>
    </w:p>
    <w:p w14:paraId="5AD84666" w14:textId="55685DD0" w:rsidR="00D14349" w:rsidRDefault="00D14349" w:rsidP="00D14349">
      <w:pPr>
        <w:tabs>
          <w:tab w:val="left" w:pos="1140"/>
        </w:tabs>
      </w:pPr>
    </w:p>
    <w:p w14:paraId="19DD340F" w14:textId="6C8658D5" w:rsidR="00DC300D" w:rsidRDefault="00132884" w:rsidP="00DC300D">
      <w:pPr>
        <w:tabs>
          <w:tab w:val="left" w:pos="1140"/>
        </w:tabs>
        <w:rPr>
          <w:noProof/>
        </w:rPr>
      </w:pPr>
      <w:r w:rsidRPr="00132884">
        <w:rPr>
          <w:noProof/>
          <w:lang w:eastAsia="hr-HR"/>
        </w:rPr>
        <w:lastRenderedPageBreak/>
        <w:drawing>
          <wp:inline distT="0" distB="0" distL="0" distR="0" wp14:anchorId="66E9122E" wp14:editId="71824008">
            <wp:extent cx="5759450" cy="5459730"/>
            <wp:effectExtent l="0" t="0" r="0" b="7620"/>
            <wp:docPr id="204137770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459730"/>
                    </a:xfrm>
                    <a:prstGeom prst="rect">
                      <a:avLst/>
                    </a:prstGeom>
                    <a:noFill/>
                    <a:ln>
                      <a:noFill/>
                    </a:ln>
                  </pic:spPr>
                </pic:pic>
              </a:graphicData>
            </a:graphic>
          </wp:inline>
        </w:drawing>
      </w:r>
    </w:p>
    <w:p w14:paraId="48A6D0AE" w14:textId="77777777" w:rsidR="00942AE4" w:rsidRDefault="00942AE4" w:rsidP="00132884">
      <w:pPr>
        <w:tabs>
          <w:tab w:val="left" w:pos="1140"/>
        </w:tabs>
        <w:rPr>
          <w:noProof/>
        </w:rPr>
      </w:pPr>
    </w:p>
    <w:p w14:paraId="35D2D124" w14:textId="77777777" w:rsidR="00DC300D" w:rsidRDefault="00DC300D" w:rsidP="00132884">
      <w:pPr>
        <w:tabs>
          <w:tab w:val="left" w:pos="1140"/>
        </w:tabs>
        <w:rPr>
          <w:noProof/>
        </w:rPr>
      </w:pPr>
    </w:p>
    <w:p w14:paraId="066C2EE8" w14:textId="687E68F3" w:rsidR="008D4606" w:rsidRPr="009A57B8" w:rsidRDefault="009A57B8" w:rsidP="009A57B8">
      <w:pPr>
        <w:pStyle w:val="ListParagraph"/>
        <w:tabs>
          <w:tab w:val="left" w:pos="1140"/>
        </w:tabs>
        <w:jc w:val="center"/>
        <w:rPr>
          <w:sz w:val="22"/>
          <w:szCs w:val="22"/>
        </w:rPr>
      </w:pPr>
      <w:r w:rsidRPr="009A57B8">
        <w:rPr>
          <w:sz w:val="22"/>
          <w:szCs w:val="22"/>
        </w:rPr>
        <w:t>VIŠAK PRIHODA KORIŠTEN ZA POKRIĆE RASHODA</w:t>
      </w:r>
    </w:p>
    <w:p w14:paraId="134AC571" w14:textId="616BCDD1" w:rsidR="008D4606" w:rsidRDefault="008D4606" w:rsidP="008D4606">
      <w:pPr>
        <w:tabs>
          <w:tab w:val="left" w:pos="1140"/>
        </w:tabs>
        <w:rPr>
          <w:noProof/>
        </w:rPr>
      </w:pPr>
    </w:p>
    <w:p w14:paraId="14B949A6" w14:textId="1030CA5F" w:rsidR="00013369" w:rsidRDefault="00013369" w:rsidP="008D4606">
      <w:pPr>
        <w:tabs>
          <w:tab w:val="left" w:pos="1140"/>
        </w:tabs>
      </w:pPr>
      <w:r w:rsidRPr="00013369">
        <w:rPr>
          <w:noProof/>
          <w:lang w:eastAsia="hr-HR"/>
        </w:rPr>
        <w:drawing>
          <wp:inline distT="0" distB="0" distL="0" distR="0" wp14:anchorId="4D442F58" wp14:editId="3B8EF588">
            <wp:extent cx="5759450" cy="1213485"/>
            <wp:effectExtent l="0" t="0" r="0" b="5715"/>
            <wp:docPr id="9129135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213485"/>
                    </a:xfrm>
                    <a:prstGeom prst="rect">
                      <a:avLst/>
                    </a:prstGeom>
                    <a:noFill/>
                    <a:ln>
                      <a:noFill/>
                    </a:ln>
                  </pic:spPr>
                </pic:pic>
              </a:graphicData>
            </a:graphic>
          </wp:inline>
        </w:drawing>
      </w:r>
    </w:p>
    <w:p w14:paraId="27545279" w14:textId="551F9F5C" w:rsidR="00942AE4" w:rsidRDefault="00942AE4">
      <w:pPr>
        <w:spacing w:after="160" w:line="259" w:lineRule="auto"/>
      </w:pPr>
      <w:r>
        <w:br w:type="page"/>
      </w:r>
    </w:p>
    <w:p w14:paraId="52C60F42" w14:textId="7095AC3C" w:rsidR="00132884" w:rsidRDefault="00132884" w:rsidP="009A57B8">
      <w:pPr>
        <w:tabs>
          <w:tab w:val="left" w:pos="1140"/>
        </w:tabs>
        <w:rPr>
          <w:noProof/>
        </w:rPr>
      </w:pPr>
      <w:r w:rsidRPr="00132884">
        <w:rPr>
          <w:noProof/>
          <w:lang w:eastAsia="hr-HR"/>
        </w:rPr>
        <w:lastRenderedPageBreak/>
        <w:drawing>
          <wp:inline distT="0" distB="0" distL="0" distR="0" wp14:anchorId="602965EF" wp14:editId="52467FB0">
            <wp:extent cx="5759450" cy="8230235"/>
            <wp:effectExtent l="0" t="0" r="0" b="0"/>
            <wp:docPr id="1827644150"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8230235"/>
                    </a:xfrm>
                    <a:prstGeom prst="rect">
                      <a:avLst/>
                    </a:prstGeom>
                    <a:noFill/>
                    <a:ln>
                      <a:noFill/>
                    </a:ln>
                  </pic:spPr>
                </pic:pic>
              </a:graphicData>
            </a:graphic>
          </wp:inline>
        </w:drawing>
      </w:r>
    </w:p>
    <w:p w14:paraId="3AEC09C5" w14:textId="77777777" w:rsidR="00132884" w:rsidRDefault="00132884" w:rsidP="009A57B8">
      <w:pPr>
        <w:tabs>
          <w:tab w:val="left" w:pos="1140"/>
        </w:tabs>
      </w:pPr>
    </w:p>
    <w:p w14:paraId="5DE8BABB" w14:textId="44506F13" w:rsidR="008D4606" w:rsidRDefault="008D4606" w:rsidP="00D14349">
      <w:pPr>
        <w:pStyle w:val="ListParagraph"/>
        <w:tabs>
          <w:tab w:val="left" w:pos="1140"/>
        </w:tabs>
      </w:pPr>
    </w:p>
    <w:p w14:paraId="5CC20F41" w14:textId="1BD02B46" w:rsidR="008D4606" w:rsidRDefault="008D4606" w:rsidP="00D14349">
      <w:pPr>
        <w:pStyle w:val="ListParagraph"/>
        <w:tabs>
          <w:tab w:val="left" w:pos="1140"/>
        </w:tabs>
      </w:pPr>
    </w:p>
    <w:p w14:paraId="5BB48252" w14:textId="2CDF6240" w:rsidR="00952261" w:rsidRDefault="00952261" w:rsidP="00D14349">
      <w:pPr>
        <w:tabs>
          <w:tab w:val="left" w:pos="1140"/>
        </w:tabs>
      </w:pPr>
    </w:p>
    <w:p w14:paraId="3642A04D" w14:textId="790CBACF" w:rsidR="00D14349" w:rsidRDefault="00132884" w:rsidP="00132884">
      <w:pPr>
        <w:tabs>
          <w:tab w:val="left" w:pos="1140"/>
        </w:tabs>
      </w:pPr>
      <w:r w:rsidRPr="00132884">
        <w:rPr>
          <w:noProof/>
          <w:lang w:eastAsia="hr-HR"/>
        </w:rPr>
        <w:drawing>
          <wp:inline distT="0" distB="0" distL="0" distR="0" wp14:anchorId="1C6CBF59" wp14:editId="158B708E">
            <wp:extent cx="5759450" cy="4451350"/>
            <wp:effectExtent l="0" t="0" r="0" b="6350"/>
            <wp:docPr id="339772087"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451350"/>
                    </a:xfrm>
                    <a:prstGeom prst="rect">
                      <a:avLst/>
                    </a:prstGeom>
                    <a:noFill/>
                    <a:ln>
                      <a:noFill/>
                    </a:ln>
                  </pic:spPr>
                </pic:pic>
              </a:graphicData>
            </a:graphic>
          </wp:inline>
        </w:drawing>
      </w:r>
    </w:p>
    <w:p w14:paraId="32560072" w14:textId="77777777" w:rsidR="00132884" w:rsidRDefault="00132884" w:rsidP="008370E4">
      <w:pPr>
        <w:tabs>
          <w:tab w:val="left" w:pos="1140"/>
        </w:tabs>
        <w:ind w:left="360"/>
      </w:pPr>
    </w:p>
    <w:p w14:paraId="1491C275" w14:textId="797044E3" w:rsidR="001432CB" w:rsidRDefault="001432CB" w:rsidP="00E93AD5">
      <w:pPr>
        <w:tabs>
          <w:tab w:val="left" w:pos="1140"/>
        </w:tabs>
      </w:pPr>
    </w:p>
    <w:p w14:paraId="57D2C694" w14:textId="149A521A" w:rsidR="00952261" w:rsidRDefault="00615C30" w:rsidP="003F0FA8">
      <w:pPr>
        <w:tabs>
          <w:tab w:val="left" w:pos="1140"/>
        </w:tabs>
        <w:ind w:left="360"/>
        <w:jc w:val="center"/>
      </w:pPr>
      <w:r>
        <w:t>Članak 3.</w:t>
      </w:r>
    </w:p>
    <w:p w14:paraId="318E5F4E" w14:textId="77777777" w:rsidR="00615C30" w:rsidRDefault="00615C30" w:rsidP="008370E4">
      <w:pPr>
        <w:tabs>
          <w:tab w:val="left" w:pos="1140"/>
        </w:tabs>
        <w:ind w:left="360"/>
      </w:pPr>
    </w:p>
    <w:p w14:paraId="2F8BDC2B" w14:textId="394391F5" w:rsidR="00132884" w:rsidRDefault="00615C30" w:rsidP="00942AE4">
      <w:pPr>
        <w:tabs>
          <w:tab w:val="left" w:pos="1140"/>
        </w:tabs>
        <w:jc w:val="center"/>
        <w:rPr>
          <w:sz w:val="22"/>
          <w:szCs w:val="22"/>
        </w:rPr>
      </w:pPr>
      <w:r w:rsidRPr="00615C30">
        <w:rPr>
          <w:sz w:val="22"/>
          <w:szCs w:val="22"/>
        </w:rPr>
        <w:t xml:space="preserve">RAČUN PRIHODA </w:t>
      </w:r>
      <w:r w:rsidR="007D0A45">
        <w:rPr>
          <w:sz w:val="22"/>
          <w:szCs w:val="22"/>
        </w:rPr>
        <w:t xml:space="preserve">I </w:t>
      </w:r>
      <w:r w:rsidRPr="00615C30">
        <w:rPr>
          <w:sz w:val="22"/>
          <w:szCs w:val="22"/>
        </w:rPr>
        <w:t>RASHODA PO IZVORIMA FINANCIRANJA</w:t>
      </w:r>
    </w:p>
    <w:p w14:paraId="7BDE5A9B" w14:textId="77777777" w:rsidR="00615C30" w:rsidRPr="00615C30" w:rsidRDefault="00615C30" w:rsidP="00615C30">
      <w:pPr>
        <w:tabs>
          <w:tab w:val="left" w:pos="1140"/>
        </w:tabs>
        <w:jc w:val="center"/>
        <w:rPr>
          <w:sz w:val="22"/>
          <w:szCs w:val="22"/>
        </w:rPr>
      </w:pPr>
    </w:p>
    <w:p w14:paraId="211C5C58" w14:textId="3231FBCB" w:rsidR="00BB63AA" w:rsidRDefault="0022778E" w:rsidP="00440EEC">
      <w:pPr>
        <w:tabs>
          <w:tab w:val="left" w:pos="1140"/>
        </w:tabs>
      </w:pPr>
      <w:r w:rsidRPr="0022778E">
        <w:rPr>
          <w:noProof/>
          <w:lang w:eastAsia="hr-HR"/>
        </w:rPr>
        <w:drawing>
          <wp:inline distT="0" distB="0" distL="0" distR="0" wp14:anchorId="05A9214E" wp14:editId="157BB542">
            <wp:extent cx="5759450" cy="1557020"/>
            <wp:effectExtent l="0" t="0" r="0" b="508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557020"/>
                    </a:xfrm>
                    <a:prstGeom prst="rect">
                      <a:avLst/>
                    </a:prstGeom>
                    <a:noFill/>
                    <a:ln>
                      <a:noFill/>
                    </a:ln>
                  </pic:spPr>
                </pic:pic>
              </a:graphicData>
            </a:graphic>
          </wp:inline>
        </w:drawing>
      </w:r>
    </w:p>
    <w:p w14:paraId="0C9B4710" w14:textId="6979DCD4" w:rsidR="00440EEC" w:rsidRDefault="00440EEC" w:rsidP="00440EEC">
      <w:pPr>
        <w:tabs>
          <w:tab w:val="left" w:pos="1140"/>
        </w:tabs>
      </w:pPr>
    </w:p>
    <w:p w14:paraId="2EAB678C" w14:textId="47C1BDD9" w:rsidR="00440EEC" w:rsidRDefault="0022778E" w:rsidP="00440EEC">
      <w:pPr>
        <w:tabs>
          <w:tab w:val="left" w:pos="1140"/>
        </w:tabs>
      </w:pPr>
      <w:r w:rsidRPr="0022778E">
        <w:rPr>
          <w:noProof/>
          <w:lang w:eastAsia="hr-HR"/>
        </w:rPr>
        <w:lastRenderedPageBreak/>
        <w:drawing>
          <wp:inline distT="0" distB="0" distL="0" distR="0" wp14:anchorId="4DAFAE74" wp14:editId="3D5AB1E2">
            <wp:extent cx="5759450" cy="1598295"/>
            <wp:effectExtent l="0" t="0" r="0" b="190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598295"/>
                    </a:xfrm>
                    <a:prstGeom prst="rect">
                      <a:avLst/>
                    </a:prstGeom>
                    <a:noFill/>
                    <a:ln>
                      <a:noFill/>
                    </a:ln>
                  </pic:spPr>
                </pic:pic>
              </a:graphicData>
            </a:graphic>
          </wp:inline>
        </w:drawing>
      </w:r>
    </w:p>
    <w:p w14:paraId="4064570F" w14:textId="73C433DD" w:rsidR="00440EEC" w:rsidRDefault="00440EEC" w:rsidP="00440EEC">
      <w:pPr>
        <w:tabs>
          <w:tab w:val="left" w:pos="1140"/>
        </w:tabs>
      </w:pPr>
    </w:p>
    <w:p w14:paraId="365F1F75" w14:textId="77777777" w:rsidR="00BF7971" w:rsidRDefault="00BF7971" w:rsidP="00440EEC">
      <w:pPr>
        <w:tabs>
          <w:tab w:val="left" w:pos="1140"/>
        </w:tabs>
      </w:pPr>
    </w:p>
    <w:p w14:paraId="49069620" w14:textId="7542894D" w:rsidR="00440EEC" w:rsidRDefault="00584D06" w:rsidP="003F0FA8">
      <w:pPr>
        <w:tabs>
          <w:tab w:val="left" w:pos="1140"/>
        </w:tabs>
        <w:jc w:val="center"/>
      </w:pPr>
      <w:r>
        <w:t>Članak 4.</w:t>
      </w:r>
    </w:p>
    <w:p w14:paraId="2F1FB92D" w14:textId="6F0FB941" w:rsidR="00440EEC" w:rsidRDefault="00440EEC" w:rsidP="00654867">
      <w:pPr>
        <w:tabs>
          <w:tab w:val="left" w:pos="1140"/>
        </w:tabs>
        <w:jc w:val="center"/>
      </w:pPr>
    </w:p>
    <w:p w14:paraId="4942DE83" w14:textId="2781A2CB" w:rsidR="00440EEC" w:rsidRDefault="00584D06" w:rsidP="00584D06">
      <w:pPr>
        <w:tabs>
          <w:tab w:val="left" w:pos="1140"/>
        </w:tabs>
        <w:jc w:val="center"/>
        <w:rPr>
          <w:sz w:val="22"/>
          <w:szCs w:val="22"/>
        </w:rPr>
      </w:pPr>
      <w:r w:rsidRPr="00584D06">
        <w:rPr>
          <w:sz w:val="22"/>
          <w:szCs w:val="22"/>
        </w:rPr>
        <w:t>RAČUN RASHODA PO FUNKCIJSKOJ KLASIFIKACIJI</w:t>
      </w:r>
    </w:p>
    <w:p w14:paraId="2F48BCBD" w14:textId="3AE4C3F2" w:rsidR="00584D06" w:rsidRPr="00584D06" w:rsidRDefault="00584D06" w:rsidP="00584D06">
      <w:pPr>
        <w:tabs>
          <w:tab w:val="left" w:pos="1140"/>
        </w:tabs>
        <w:rPr>
          <w:sz w:val="22"/>
          <w:szCs w:val="22"/>
        </w:rPr>
      </w:pPr>
    </w:p>
    <w:p w14:paraId="7C47FD00" w14:textId="1A6F1B72" w:rsidR="00584D06" w:rsidRPr="00584D06" w:rsidRDefault="005E3757" w:rsidP="005E3757">
      <w:pPr>
        <w:tabs>
          <w:tab w:val="left" w:pos="1140"/>
        </w:tabs>
        <w:rPr>
          <w:sz w:val="22"/>
          <w:szCs w:val="22"/>
        </w:rPr>
      </w:pPr>
      <w:r w:rsidRPr="005E3757">
        <w:rPr>
          <w:noProof/>
          <w:lang w:eastAsia="hr-HR"/>
        </w:rPr>
        <w:drawing>
          <wp:inline distT="0" distB="0" distL="0" distR="0" wp14:anchorId="4558449E" wp14:editId="58750DEC">
            <wp:extent cx="5759450" cy="63563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635635"/>
                    </a:xfrm>
                    <a:prstGeom prst="rect">
                      <a:avLst/>
                    </a:prstGeom>
                    <a:noFill/>
                    <a:ln>
                      <a:noFill/>
                    </a:ln>
                  </pic:spPr>
                </pic:pic>
              </a:graphicData>
            </a:graphic>
          </wp:inline>
        </w:drawing>
      </w:r>
    </w:p>
    <w:p w14:paraId="7E1DDB1D" w14:textId="1DA403AF" w:rsidR="00584D06" w:rsidRDefault="00584D06" w:rsidP="00440EEC">
      <w:pPr>
        <w:tabs>
          <w:tab w:val="left" w:pos="1140"/>
        </w:tabs>
      </w:pPr>
    </w:p>
    <w:p w14:paraId="382E0819" w14:textId="1A72791E" w:rsidR="005E3757" w:rsidRDefault="005E3757" w:rsidP="005E3757">
      <w:pPr>
        <w:tabs>
          <w:tab w:val="left" w:pos="1140"/>
        </w:tabs>
        <w:jc w:val="center"/>
      </w:pPr>
      <w:r>
        <w:t>Članak 5.</w:t>
      </w:r>
    </w:p>
    <w:p w14:paraId="37CA8F82" w14:textId="77777777" w:rsidR="00E91435" w:rsidRDefault="00E91435" w:rsidP="00440EEC">
      <w:pPr>
        <w:tabs>
          <w:tab w:val="left" w:pos="1140"/>
        </w:tabs>
        <w:rPr>
          <w:sz w:val="22"/>
          <w:szCs w:val="22"/>
        </w:rPr>
      </w:pPr>
    </w:p>
    <w:p w14:paraId="27944663" w14:textId="3F40E629" w:rsidR="005E3757" w:rsidRDefault="00E91435" w:rsidP="00E91435">
      <w:pPr>
        <w:tabs>
          <w:tab w:val="left" w:pos="1140"/>
        </w:tabs>
        <w:jc w:val="center"/>
        <w:rPr>
          <w:sz w:val="22"/>
          <w:szCs w:val="22"/>
        </w:rPr>
      </w:pPr>
      <w:r>
        <w:rPr>
          <w:sz w:val="22"/>
          <w:szCs w:val="22"/>
        </w:rPr>
        <w:t>RAČUN FINANCIRANJA</w:t>
      </w:r>
    </w:p>
    <w:p w14:paraId="0C6FFCC6" w14:textId="77777777" w:rsidR="00E91435" w:rsidRPr="00E91435" w:rsidRDefault="00E91435" w:rsidP="00440EEC">
      <w:pPr>
        <w:tabs>
          <w:tab w:val="left" w:pos="1140"/>
        </w:tabs>
        <w:rPr>
          <w:sz w:val="22"/>
          <w:szCs w:val="22"/>
        </w:rPr>
      </w:pPr>
    </w:p>
    <w:p w14:paraId="42C8504B" w14:textId="64F8A1F6" w:rsidR="005E3757" w:rsidRDefault="002C6F9E" w:rsidP="00440EEC">
      <w:pPr>
        <w:tabs>
          <w:tab w:val="left" w:pos="1140"/>
        </w:tabs>
      </w:pPr>
      <w:r w:rsidRPr="002C6F9E">
        <w:rPr>
          <w:noProof/>
          <w:lang w:eastAsia="hr-HR"/>
        </w:rPr>
        <w:drawing>
          <wp:inline distT="0" distB="0" distL="0" distR="0" wp14:anchorId="051D2906" wp14:editId="57F4B275">
            <wp:extent cx="5759450" cy="1147445"/>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147445"/>
                    </a:xfrm>
                    <a:prstGeom prst="rect">
                      <a:avLst/>
                    </a:prstGeom>
                    <a:noFill/>
                    <a:ln>
                      <a:noFill/>
                    </a:ln>
                  </pic:spPr>
                </pic:pic>
              </a:graphicData>
            </a:graphic>
          </wp:inline>
        </w:drawing>
      </w:r>
    </w:p>
    <w:p w14:paraId="065DE204" w14:textId="5AB46893" w:rsidR="005E3757" w:rsidRDefault="005E3757" w:rsidP="00440EEC">
      <w:pPr>
        <w:tabs>
          <w:tab w:val="left" w:pos="1140"/>
        </w:tabs>
      </w:pPr>
    </w:p>
    <w:p w14:paraId="561CC749" w14:textId="56CFB848" w:rsidR="005E3757" w:rsidRDefault="002C6F9E" w:rsidP="00440EEC">
      <w:pPr>
        <w:tabs>
          <w:tab w:val="left" w:pos="1140"/>
        </w:tabs>
      </w:pPr>
      <w:r w:rsidRPr="002C6F9E">
        <w:rPr>
          <w:noProof/>
          <w:lang w:eastAsia="hr-HR"/>
        </w:rPr>
        <w:drawing>
          <wp:inline distT="0" distB="0" distL="0" distR="0" wp14:anchorId="34987CA1" wp14:editId="49C5EFBA">
            <wp:extent cx="5759450" cy="738505"/>
            <wp:effectExtent l="0" t="0" r="0" b="444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738505"/>
                    </a:xfrm>
                    <a:prstGeom prst="rect">
                      <a:avLst/>
                    </a:prstGeom>
                    <a:noFill/>
                    <a:ln>
                      <a:noFill/>
                    </a:ln>
                  </pic:spPr>
                </pic:pic>
              </a:graphicData>
            </a:graphic>
          </wp:inline>
        </w:drawing>
      </w:r>
    </w:p>
    <w:p w14:paraId="52D612B5" w14:textId="79989B1E" w:rsidR="005E3757" w:rsidRDefault="005E3757" w:rsidP="00440EEC">
      <w:pPr>
        <w:tabs>
          <w:tab w:val="left" w:pos="1140"/>
        </w:tabs>
      </w:pPr>
    </w:p>
    <w:p w14:paraId="70433E24" w14:textId="77777777" w:rsidR="00942AE4" w:rsidRDefault="00942AE4" w:rsidP="00440EEC">
      <w:pPr>
        <w:tabs>
          <w:tab w:val="left" w:pos="1140"/>
        </w:tabs>
      </w:pPr>
    </w:p>
    <w:p w14:paraId="772D8045" w14:textId="452EED49" w:rsidR="00584D06" w:rsidRPr="00D53D71" w:rsidRDefault="00584D06" w:rsidP="00440EEC">
      <w:pPr>
        <w:tabs>
          <w:tab w:val="left" w:pos="1140"/>
        </w:tabs>
        <w:rPr>
          <w:b/>
          <w:bCs/>
        </w:rPr>
      </w:pPr>
      <w:r w:rsidRPr="00D53D71">
        <w:rPr>
          <w:b/>
          <w:bCs/>
        </w:rPr>
        <w:t>II POSEBNI DIO</w:t>
      </w:r>
    </w:p>
    <w:p w14:paraId="2FC8B1F1" w14:textId="7C38DD53" w:rsidR="00FB6A65" w:rsidRDefault="00D53D71" w:rsidP="00440EEC">
      <w:pPr>
        <w:tabs>
          <w:tab w:val="left" w:pos="1140"/>
        </w:tabs>
      </w:pPr>
      <w:r>
        <w:tab/>
      </w:r>
      <w:r>
        <w:tab/>
      </w:r>
      <w:r>
        <w:tab/>
      </w:r>
      <w:r>
        <w:tab/>
      </w:r>
      <w:r>
        <w:tab/>
      </w:r>
      <w:r>
        <w:tab/>
        <w:t xml:space="preserve">Članak </w:t>
      </w:r>
      <w:r w:rsidR="007A6506">
        <w:t>6</w:t>
      </w:r>
      <w:r>
        <w:t>.</w:t>
      </w:r>
    </w:p>
    <w:p w14:paraId="48AA6B6B" w14:textId="77777777" w:rsidR="00D53D71" w:rsidRDefault="00D53D71" w:rsidP="00440EEC">
      <w:pPr>
        <w:tabs>
          <w:tab w:val="left" w:pos="1140"/>
        </w:tabs>
      </w:pPr>
    </w:p>
    <w:p w14:paraId="16F54B3A" w14:textId="6E6E7107" w:rsidR="00FB6A65" w:rsidRDefault="00D53D71" w:rsidP="00C011B0">
      <w:pPr>
        <w:tabs>
          <w:tab w:val="left" w:pos="1140"/>
        </w:tabs>
        <w:jc w:val="center"/>
        <w:rPr>
          <w:sz w:val="22"/>
          <w:szCs w:val="22"/>
        </w:rPr>
      </w:pPr>
      <w:r w:rsidRPr="00D53D71">
        <w:rPr>
          <w:sz w:val="22"/>
          <w:szCs w:val="22"/>
        </w:rPr>
        <w:t>RASHODI I IZDACI ISKAZANI PO PROGRAMSKOJ, EKONOMSKOJ, FUNKCIJSKOJ KLASIFIKACIJI, AKTIVNOSTIMA I IZVORIMA FINANCIRANJA</w:t>
      </w:r>
    </w:p>
    <w:p w14:paraId="345C9085" w14:textId="238A30DE" w:rsidR="00FB6A65" w:rsidRDefault="00FB6A65" w:rsidP="00440EEC">
      <w:pPr>
        <w:tabs>
          <w:tab w:val="left" w:pos="1140"/>
        </w:tabs>
      </w:pPr>
    </w:p>
    <w:p w14:paraId="1DC598DD" w14:textId="32FE3B0B" w:rsidR="00FB6A65" w:rsidRDefault="00AC7406" w:rsidP="00440EEC">
      <w:pPr>
        <w:tabs>
          <w:tab w:val="left" w:pos="1140"/>
        </w:tabs>
      </w:pPr>
      <w:r w:rsidRPr="00AC7406">
        <w:rPr>
          <w:noProof/>
          <w:lang w:eastAsia="hr-HR"/>
        </w:rPr>
        <w:drawing>
          <wp:inline distT="0" distB="0" distL="0" distR="0" wp14:anchorId="4456EB96" wp14:editId="687A8D77">
            <wp:extent cx="5759450" cy="1198880"/>
            <wp:effectExtent l="0" t="0" r="0" b="1270"/>
            <wp:docPr id="335412210"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1198880"/>
                    </a:xfrm>
                    <a:prstGeom prst="rect">
                      <a:avLst/>
                    </a:prstGeom>
                    <a:noFill/>
                    <a:ln>
                      <a:noFill/>
                    </a:ln>
                  </pic:spPr>
                </pic:pic>
              </a:graphicData>
            </a:graphic>
          </wp:inline>
        </w:drawing>
      </w:r>
    </w:p>
    <w:p w14:paraId="7347F774" w14:textId="6A239392" w:rsidR="00FB6A65" w:rsidRDefault="00FB6A65" w:rsidP="00440EEC">
      <w:pPr>
        <w:tabs>
          <w:tab w:val="left" w:pos="1140"/>
        </w:tabs>
      </w:pPr>
    </w:p>
    <w:p w14:paraId="3A5DF6BE" w14:textId="76A24AC9" w:rsidR="00AC7406" w:rsidRDefault="00AC7406" w:rsidP="00440EEC">
      <w:pPr>
        <w:tabs>
          <w:tab w:val="left" w:pos="1140"/>
        </w:tabs>
      </w:pPr>
      <w:r w:rsidRPr="00AC7406">
        <w:rPr>
          <w:noProof/>
          <w:lang w:eastAsia="hr-HR"/>
        </w:rPr>
        <w:drawing>
          <wp:inline distT="0" distB="0" distL="0" distR="0" wp14:anchorId="605C1DB2" wp14:editId="02427781">
            <wp:extent cx="5759450" cy="8510270"/>
            <wp:effectExtent l="0" t="0" r="0" b="5080"/>
            <wp:docPr id="800827817"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8510270"/>
                    </a:xfrm>
                    <a:prstGeom prst="rect">
                      <a:avLst/>
                    </a:prstGeom>
                    <a:noFill/>
                    <a:ln>
                      <a:noFill/>
                    </a:ln>
                  </pic:spPr>
                </pic:pic>
              </a:graphicData>
            </a:graphic>
          </wp:inline>
        </w:drawing>
      </w:r>
    </w:p>
    <w:p w14:paraId="64784477" w14:textId="77777777" w:rsidR="00AC7406" w:rsidRDefault="00AC7406" w:rsidP="00440EEC">
      <w:pPr>
        <w:tabs>
          <w:tab w:val="left" w:pos="1140"/>
        </w:tabs>
      </w:pPr>
    </w:p>
    <w:p w14:paraId="3D96945F" w14:textId="0F21D026" w:rsidR="00440EEC" w:rsidRDefault="00440EEC" w:rsidP="00440EEC">
      <w:pPr>
        <w:tabs>
          <w:tab w:val="left" w:pos="1140"/>
        </w:tabs>
      </w:pPr>
    </w:p>
    <w:p w14:paraId="559B8D70" w14:textId="0327B6ED" w:rsidR="00AC7406" w:rsidRDefault="00AC7406" w:rsidP="00440EEC">
      <w:pPr>
        <w:tabs>
          <w:tab w:val="left" w:pos="1140"/>
        </w:tabs>
      </w:pPr>
      <w:r w:rsidRPr="00AC7406">
        <w:rPr>
          <w:noProof/>
          <w:lang w:eastAsia="hr-HR"/>
        </w:rPr>
        <w:drawing>
          <wp:inline distT="0" distB="0" distL="0" distR="0" wp14:anchorId="712F751E" wp14:editId="6862FF58">
            <wp:extent cx="5759450" cy="7951470"/>
            <wp:effectExtent l="0" t="0" r="0" b="0"/>
            <wp:docPr id="2059358423"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7951470"/>
                    </a:xfrm>
                    <a:prstGeom prst="rect">
                      <a:avLst/>
                    </a:prstGeom>
                    <a:noFill/>
                    <a:ln>
                      <a:noFill/>
                    </a:ln>
                  </pic:spPr>
                </pic:pic>
              </a:graphicData>
            </a:graphic>
          </wp:inline>
        </w:drawing>
      </w:r>
    </w:p>
    <w:p w14:paraId="3D8B36DF" w14:textId="20C4DBCF" w:rsidR="00440EEC" w:rsidRDefault="00440EEC" w:rsidP="00440EEC">
      <w:pPr>
        <w:tabs>
          <w:tab w:val="left" w:pos="1140"/>
        </w:tabs>
      </w:pPr>
    </w:p>
    <w:p w14:paraId="3B316306" w14:textId="70B0BA50" w:rsidR="00440EEC" w:rsidRDefault="00440EEC" w:rsidP="00440EEC">
      <w:pPr>
        <w:tabs>
          <w:tab w:val="left" w:pos="1140"/>
        </w:tabs>
      </w:pPr>
    </w:p>
    <w:p w14:paraId="33FBC9B0" w14:textId="489DB547" w:rsidR="00171217" w:rsidRDefault="00171217" w:rsidP="00440EEC">
      <w:pPr>
        <w:tabs>
          <w:tab w:val="left" w:pos="1140"/>
        </w:tabs>
      </w:pPr>
    </w:p>
    <w:p w14:paraId="3EDF3F5C" w14:textId="5800D88C" w:rsidR="00440EEC" w:rsidRDefault="00440EEC" w:rsidP="00440EEC">
      <w:pPr>
        <w:tabs>
          <w:tab w:val="left" w:pos="1140"/>
        </w:tabs>
      </w:pPr>
    </w:p>
    <w:p w14:paraId="2BC88B17" w14:textId="4640B6EB" w:rsidR="00440EEC" w:rsidRDefault="00B83233" w:rsidP="00440EEC">
      <w:pPr>
        <w:tabs>
          <w:tab w:val="left" w:pos="1140"/>
        </w:tabs>
      </w:pPr>
      <w:r w:rsidRPr="00B83233">
        <w:rPr>
          <w:noProof/>
          <w:lang w:eastAsia="hr-HR"/>
        </w:rPr>
        <w:lastRenderedPageBreak/>
        <w:drawing>
          <wp:inline distT="0" distB="0" distL="0" distR="0" wp14:anchorId="281D0BD6" wp14:editId="31061F27">
            <wp:extent cx="5759450" cy="8863330"/>
            <wp:effectExtent l="0" t="0" r="0" b="0"/>
            <wp:docPr id="206555118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8863330"/>
                    </a:xfrm>
                    <a:prstGeom prst="rect">
                      <a:avLst/>
                    </a:prstGeom>
                    <a:noFill/>
                    <a:ln>
                      <a:noFill/>
                    </a:ln>
                  </pic:spPr>
                </pic:pic>
              </a:graphicData>
            </a:graphic>
          </wp:inline>
        </w:drawing>
      </w:r>
    </w:p>
    <w:p w14:paraId="7C37330B" w14:textId="31EE7B5B" w:rsidR="00440EEC" w:rsidRDefault="00B83233" w:rsidP="00440EEC">
      <w:pPr>
        <w:tabs>
          <w:tab w:val="left" w:pos="1140"/>
        </w:tabs>
      </w:pPr>
      <w:r w:rsidRPr="00B83233">
        <w:rPr>
          <w:noProof/>
          <w:lang w:eastAsia="hr-HR"/>
        </w:rPr>
        <w:lastRenderedPageBreak/>
        <w:drawing>
          <wp:inline distT="0" distB="0" distL="0" distR="0" wp14:anchorId="7B4DFC9F" wp14:editId="6B22D266">
            <wp:extent cx="5534025" cy="8891270"/>
            <wp:effectExtent l="0" t="0" r="9525" b="5080"/>
            <wp:docPr id="2144169645"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34025" cy="8891270"/>
                    </a:xfrm>
                    <a:prstGeom prst="rect">
                      <a:avLst/>
                    </a:prstGeom>
                    <a:noFill/>
                    <a:ln>
                      <a:noFill/>
                    </a:ln>
                  </pic:spPr>
                </pic:pic>
              </a:graphicData>
            </a:graphic>
          </wp:inline>
        </w:drawing>
      </w:r>
    </w:p>
    <w:p w14:paraId="716A8AE0" w14:textId="548D31BB" w:rsidR="00440EEC" w:rsidRDefault="00B83233" w:rsidP="00440EEC">
      <w:pPr>
        <w:tabs>
          <w:tab w:val="left" w:pos="1140"/>
        </w:tabs>
      </w:pPr>
      <w:r w:rsidRPr="00B83233">
        <w:rPr>
          <w:noProof/>
          <w:lang w:eastAsia="hr-HR"/>
        </w:rPr>
        <w:lastRenderedPageBreak/>
        <w:drawing>
          <wp:inline distT="0" distB="0" distL="0" distR="0" wp14:anchorId="48150686" wp14:editId="2A4C84BE">
            <wp:extent cx="5434965" cy="8891270"/>
            <wp:effectExtent l="0" t="0" r="0" b="5080"/>
            <wp:docPr id="1458894876"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34965" cy="8891270"/>
                    </a:xfrm>
                    <a:prstGeom prst="rect">
                      <a:avLst/>
                    </a:prstGeom>
                    <a:noFill/>
                    <a:ln>
                      <a:noFill/>
                    </a:ln>
                  </pic:spPr>
                </pic:pic>
              </a:graphicData>
            </a:graphic>
          </wp:inline>
        </w:drawing>
      </w:r>
    </w:p>
    <w:p w14:paraId="0C58E654" w14:textId="326F6225" w:rsidR="00440EEC" w:rsidRDefault="0093414B" w:rsidP="00440EEC">
      <w:pPr>
        <w:tabs>
          <w:tab w:val="left" w:pos="1140"/>
        </w:tabs>
      </w:pPr>
      <w:r w:rsidRPr="0093414B">
        <w:rPr>
          <w:noProof/>
          <w:lang w:eastAsia="hr-HR"/>
        </w:rPr>
        <w:lastRenderedPageBreak/>
        <w:drawing>
          <wp:inline distT="0" distB="0" distL="0" distR="0" wp14:anchorId="066ADF71" wp14:editId="14163156">
            <wp:extent cx="5692140" cy="8891270"/>
            <wp:effectExtent l="0" t="0" r="3810" b="5080"/>
            <wp:docPr id="19971386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2140" cy="8891270"/>
                    </a:xfrm>
                    <a:prstGeom prst="rect">
                      <a:avLst/>
                    </a:prstGeom>
                    <a:noFill/>
                    <a:ln>
                      <a:noFill/>
                    </a:ln>
                  </pic:spPr>
                </pic:pic>
              </a:graphicData>
            </a:graphic>
          </wp:inline>
        </w:drawing>
      </w:r>
    </w:p>
    <w:p w14:paraId="7D356690" w14:textId="14584155" w:rsidR="00440EEC" w:rsidRDefault="0093414B" w:rsidP="00B83233">
      <w:pPr>
        <w:tabs>
          <w:tab w:val="left" w:pos="1140"/>
        </w:tabs>
      </w:pPr>
      <w:r w:rsidRPr="0093414B">
        <w:rPr>
          <w:noProof/>
          <w:lang w:eastAsia="hr-HR"/>
        </w:rPr>
        <w:lastRenderedPageBreak/>
        <w:drawing>
          <wp:inline distT="0" distB="0" distL="0" distR="0" wp14:anchorId="7765B557" wp14:editId="1229F275">
            <wp:extent cx="5759450" cy="8098790"/>
            <wp:effectExtent l="0" t="0" r="0" b="0"/>
            <wp:docPr id="922137648"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8098790"/>
                    </a:xfrm>
                    <a:prstGeom prst="rect">
                      <a:avLst/>
                    </a:prstGeom>
                    <a:noFill/>
                    <a:ln>
                      <a:noFill/>
                    </a:ln>
                  </pic:spPr>
                </pic:pic>
              </a:graphicData>
            </a:graphic>
          </wp:inline>
        </w:drawing>
      </w:r>
    </w:p>
    <w:p w14:paraId="63CFB514" w14:textId="3F762C00" w:rsidR="006A2F1A" w:rsidRDefault="006A2F1A" w:rsidP="00A249F1">
      <w:pPr>
        <w:tabs>
          <w:tab w:val="left" w:pos="1140"/>
        </w:tabs>
      </w:pPr>
    </w:p>
    <w:p w14:paraId="3F066A1F" w14:textId="77777777" w:rsidR="00A249F1" w:rsidRDefault="00A249F1" w:rsidP="00A249F1">
      <w:pPr>
        <w:tabs>
          <w:tab w:val="left" w:pos="1140"/>
        </w:tabs>
      </w:pPr>
    </w:p>
    <w:p w14:paraId="5920A224" w14:textId="77777777" w:rsidR="00A249F1" w:rsidRDefault="00A249F1" w:rsidP="00A249F1">
      <w:pPr>
        <w:tabs>
          <w:tab w:val="left" w:pos="1140"/>
        </w:tabs>
      </w:pPr>
    </w:p>
    <w:p w14:paraId="1693FD2A" w14:textId="77777777" w:rsidR="00A249F1" w:rsidRDefault="00A249F1" w:rsidP="00A249F1">
      <w:pPr>
        <w:tabs>
          <w:tab w:val="left" w:pos="1140"/>
        </w:tabs>
      </w:pPr>
    </w:p>
    <w:p w14:paraId="4FE59A43" w14:textId="7B261BD4" w:rsidR="00B23772" w:rsidRDefault="0093414B" w:rsidP="00A249F1">
      <w:pPr>
        <w:tabs>
          <w:tab w:val="left" w:pos="1140"/>
        </w:tabs>
      </w:pPr>
      <w:r w:rsidRPr="0093414B">
        <w:rPr>
          <w:noProof/>
          <w:lang w:eastAsia="hr-HR"/>
        </w:rPr>
        <w:lastRenderedPageBreak/>
        <w:drawing>
          <wp:inline distT="0" distB="0" distL="0" distR="0" wp14:anchorId="296AECDE" wp14:editId="316141CD">
            <wp:extent cx="5609590" cy="8891270"/>
            <wp:effectExtent l="0" t="0" r="0" b="5080"/>
            <wp:docPr id="873426510"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09590" cy="8891270"/>
                    </a:xfrm>
                    <a:prstGeom prst="rect">
                      <a:avLst/>
                    </a:prstGeom>
                    <a:noFill/>
                    <a:ln>
                      <a:noFill/>
                    </a:ln>
                  </pic:spPr>
                </pic:pic>
              </a:graphicData>
            </a:graphic>
          </wp:inline>
        </w:drawing>
      </w:r>
    </w:p>
    <w:p w14:paraId="1FFA71C2" w14:textId="6684CA82" w:rsidR="00A249F1" w:rsidRDefault="0093414B" w:rsidP="00A249F1">
      <w:pPr>
        <w:tabs>
          <w:tab w:val="left" w:pos="1140"/>
        </w:tabs>
      </w:pPr>
      <w:r w:rsidRPr="0093414B">
        <w:rPr>
          <w:noProof/>
          <w:lang w:eastAsia="hr-HR"/>
        </w:rPr>
        <w:lastRenderedPageBreak/>
        <w:drawing>
          <wp:inline distT="0" distB="0" distL="0" distR="0" wp14:anchorId="03D492B3" wp14:editId="2313A545">
            <wp:extent cx="5759450" cy="8025130"/>
            <wp:effectExtent l="0" t="0" r="0" b="0"/>
            <wp:docPr id="1150382886"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8025130"/>
                    </a:xfrm>
                    <a:prstGeom prst="rect">
                      <a:avLst/>
                    </a:prstGeom>
                    <a:noFill/>
                    <a:ln>
                      <a:noFill/>
                    </a:ln>
                  </pic:spPr>
                </pic:pic>
              </a:graphicData>
            </a:graphic>
          </wp:inline>
        </w:drawing>
      </w:r>
    </w:p>
    <w:p w14:paraId="00660161" w14:textId="77777777" w:rsidR="00A249F1" w:rsidRDefault="00A249F1" w:rsidP="00A249F1">
      <w:pPr>
        <w:tabs>
          <w:tab w:val="left" w:pos="1140"/>
        </w:tabs>
      </w:pPr>
    </w:p>
    <w:p w14:paraId="5EA5FDAF" w14:textId="77777777" w:rsidR="00A249F1" w:rsidRDefault="00A249F1" w:rsidP="00A249F1">
      <w:pPr>
        <w:tabs>
          <w:tab w:val="left" w:pos="1140"/>
        </w:tabs>
      </w:pPr>
    </w:p>
    <w:p w14:paraId="674B1D00" w14:textId="0A18F57C" w:rsidR="00A249F1" w:rsidRDefault="00A249F1" w:rsidP="00A249F1">
      <w:pPr>
        <w:tabs>
          <w:tab w:val="left" w:pos="1140"/>
        </w:tabs>
      </w:pPr>
    </w:p>
    <w:p w14:paraId="7C454F73" w14:textId="4441786A" w:rsidR="00B23772" w:rsidRDefault="00B23772" w:rsidP="00A249F1">
      <w:pPr>
        <w:tabs>
          <w:tab w:val="left" w:pos="1140"/>
        </w:tabs>
      </w:pPr>
    </w:p>
    <w:p w14:paraId="4F947F2E" w14:textId="092BF5AF" w:rsidR="00A249F1" w:rsidRPr="0088623E" w:rsidRDefault="0088623E" w:rsidP="0088623E">
      <w:pPr>
        <w:tabs>
          <w:tab w:val="left" w:pos="1140"/>
        </w:tabs>
        <w:rPr>
          <w:b/>
          <w:bCs/>
        </w:rPr>
      </w:pPr>
      <w:r w:rsidRPr="0088623E">
        <w:rPr>
          <w:b/>
          <w:bCs/>
        </w:rPr>
        <w:lastRenderedPageBreak/>
        <w:t>III OBRAZLOŽENJA</w:t>
      </w:r>
    </w:p>
    <w:p w14:paraId="5A7CB27B" w14:textId="5C6DC951" w:rsidR="0088623E" w:rsidRDefault="0088623E" w:rsidP="0088623E">
      <w:pPr>
        <w:jc w:val="center"/>
      </w:pPr>
      <w:r>
        <w:t xml:space="preserve">Članak </w:t>
      </w:r>
      <w:r w:rsidR="003C6FB8">
        <w:t>7</w:t>
      </w:r>
      <w:r>
        <w:t>.</w:t>
      </w:r>
    </w:p>
    <w:p w14:paraId="4C75AB72" w14:textId="23C59EEC" w:rsidR="007B5AFD" w:rsidRDefault="007B5AFD" w:rsidP="0088623E">
      <w:pPr>
        <w:jc w:val="center"/>
      </w:pPr>
    </w:p>
    <w:p w14:paraId="6F6E7EC6" w14:textId="59A49801" w:rsidR="007B5AFD" w:rsidRPr="007B5AFD" w:rsidRDefault="007B5AFD" w:rsidP="0088623E">
      <w:pPr>
        <w:jc w:val="center"/>
        <w:rPr>
          <w:sz w:val="22"/>
          <w:szCs w:val="22"/>
        </w:rPr>
      </w:pPr>
      <w:r w:rsidRPr="007B5AFD">
        <w:rPr>
          <w:sz w:val="22"/>
          <w:szCs w:val="22"/>
        </w:rPr>
        <w:t>OBRAZLOŽENJE OPĆEG DIJELA</w:t>
      </w:r>
    </w:p>
    <w:p w14:paraId="65F2842D" w14:textId="77777777" w:rsidR="007B5AFD" w:rsidRDefault="007B5AFD" w:rsidP="0088623E">
      <w:pPr>
        <w:jc w:val="center"/>
      </w:pPr>
    </w:p>
    <w:p w14:paraId="78132A05" w14:textId="1B2BB804" w:rsidR="001432CB" w:rsidRPr="007740B2" w:rsidRDefault="00977BAF" w:rsidP="007740B2">
      <w:pPr>
        <w:tabs>
          <w:tab w:val="left" w:pos="1140"/>
        </w:tabs>
        <w:jc w:val="both"/>
      </w:pPr>
      <w:r w:rsidRPr="007740B2">
        <w:rPr>
          <w:noProof/>
        </w:rPr>
        <w:t xml:space="preserve">Ukupni ostvareni prihodi poslovanja u razdoblju 01-12 2023. godine </w:t>
      </w:r>
      <w:r w:rsidR="00B23772" w:rsidRPr="007740B2">
        <w:rPr>
          <w:noProof/>
        </w:rPr>
        <w:t xml:space="preserve">iznose </w:t>
      </w:r>
      <w:r w:rsidR="007740B2" w:rsidRPr="007740B2">
        <w:rPr>
          <w:noProof/>
        </w:rPr>
        <w:t xml:space="preserve">7.360.794,22 EUR i </w:t>
      </w:r>
      <w:r w:rsidRPr="007740B2">
        <w:rPr>
          <w:noProof/>
        </w:rPr>
        <w:t xml:space="preserve">manji su u odnosu na Izvorni plan za 3,3% </w:t>
      </w:r>
      <w:r w:rsidR="007740B2" w:rsidRPr="007740B2">
        <w:rPr>
          <w:noProof/>
        </w:rPr>
        <w:t>.iz razloga što</w:t>
      </w:r>
      <w:r w:rsidRPr="007740B2">
        <w:rPr>
          <w:noProof/>
        </w:rPr>
        <w:t xml:space="preserve"> su se prestankom pandemije smanjile i potrebe za uslugama testiranja na COVID-19 te su prihodi od HZZO (crvene uputnice) manji njego u istom razdoblju prošle godine. Ujedno se smanjio i prihod od testiranja na COVID-19 na tržištu.</w:t>
      </w:r>
    </w:p>
    <w:p w14:paraId="12400937" w14:textId="714E1A71" w:rsidR="001432CB" w:rsidRPr="00BE17FF" w:rsidRDefault="001432CB" w:rsidP="007740B2">
      <w:pPr>
        <w:tabs>
          <w:tab w:val="left" w:pos="1140"/>
        </w:tabs>
        <w:jc w:val="both"/>
      </w:pPr>
      <w:r w:rsidRPr="007740B2">
        <w:t xml:space="preserve">Ukupni rashodi </w:t>
      </w:r>
      <w:r w:rsidR="00B23772" w:rsidRPr="007740B2">
        <w:t xml:space="preserve">poslovanja u razdoblju od </w:t>
      </w:r>
      <w:r w:rsidR="00B23772" w:rsidRPr="00BE17FF">
        <w:t>01-12 2023. godine iznose</w:t>
      </w:r>
      <w:r w:rsidR="007740B2" w:rsidRPr="00BE17FF">
        <w:t>7.945.845,55 EUR</w:t>
      </w:r>
      <w:r w:rsidR="00B23772" w:rsidRPr="00BE17FF">
        <w:t xml:space="preserve"> i </w:t>
      </w:r>
      <w:r w:rsidRPr="00BE17FF">
        <w:t>veći su za 4,5 % u odnosu na Izvorni plan</w:t>
      </w:r>
      <w:r w:rsidR="007740B2" w:rsidRPr="00BE17FF">
        <w:t xml:space="preserve"> te su veći, u odnosu na ostvarene prihode u izvještajnom razdoblju, za ukupno 585.051,33 EUR.</w:t>
      </w:r>
      <w:r w:rsidRPr="00BE17FF">
        <w:t xml:space="preserve"> Ukupan iznos </w:t>
      </w:r>
      <w:r w:rsidR="00BE17FF" w:rsidRPr="00BE17FF">
        <w:t xml:space="preserve">ostvarenih rashoda </w:t>
      </w:r>
      <w:r w:rsidRPr="00BE17FF">
        <w:t xml:space="preserve">odnosi se na investicijska ulaganja u poslovnu zgradu Ustanove i opremanje novoizgrađenih prostorija Zavoda sukladno planu investicija te povećanje koeficijenata kao i osnovice za obračun plaća tijekom 2023. godine. Ukupni ostvareni manjak poslovanja </w:t>
      </w:r>
      <w:r w:rsidR="00BE17FF" w:rsidRPr="00BE17FF">
        <w:t xml:space="preserve">za 2023. godinu  u visini od 585.051,33 EUR </w:t>
      </w:r>
      <w:r w:rsidRPr="00BE17FF">
        <w:t>nadomjestiti će se iz akumuliranog viška prihoda ostvarenih na tržištu prijašnjih godina</w:t>
      </w:r>
      <w:r w:rsidR="00BE17FF" w:rsidRPr="00BE17FF">
        <w:t>, koji iznosi 5.196.512,89 EUR, a preostali iznos akumuliranog viška sredstava sukcesivno će biti utrošeno na redovno poslovanje Zavoda, nabavu postrojenja i opreme te u dodatna ulaganja u građevinske objekte</w:t>
      </w:r>
      <w:r w:rsidRPr="00BE17FF">
        <w:t xml:space="preserve">. </w:t>
      </w:r>
      <w:r w:rsidR="00BE17FF" w:rsidRPr="00BE17FF">
        <w:t>Na početku izvještajnog razdoblja na poslovno računu Zavoda bilo je 6.087.733,06 EUR dok je na kraju izvještajnog razdoblja bilo 5.446.047,86 EUR.</w:t>
      </w:r>
    </w:p>
    <w:p w14:paraId="2CB8AC8F" w14:textId="77777777" w:rsidR="0088623E" w:rsidRDefault="0088623E" w:rsidP="00977BAF">
      <w:pPr>
        <w:rPr>
          <w:color w:val="FF0000"/>
        </w:rPr>
      </w:pPr>
    </w:p>
    <w:p w14:paraId="5EB3D89F" w14:textId="77777777" w:rsidR="00942AE4" w:rsidRPr="00977BAF" w:rsidRDefault="00942AE4" w:rsidP="00977BAF">
      <w:pPr>
        <w:rPr>
          <w:color w:val="FF0000"/>
        </w:rPr>
      </w:pPr>
    </w:p>
    <w:p w14:paraId="2A81F1DC" w14:textId="41576E8A" w:rsidR="007B5AFD" w:rsidRDefault="003C6FB8" w:rsidP="0088623E">
      <w:pPr>
        <w:jc w:val="center"/>
        <w:rPr>
          <w:sz w:val="22"/>
          <w:szCs w:val="22"/>
        </w:rPr>
      </w:pPr>
      <w:r>
        <w:rPr>
          <w:sz w:val="22"/>
          <w:szCs w:val="22"/>
        </w:rPr>
        <w:t>Članak 8.</w:t>
      </w:r>
    </w:p>
    <w:p w14:paraId="6210BB51" w14:textId="77777777" w:rsidR="007B5AFD" w:rsidRDefault="007B5AFD" w:rsidP="0088623E">
      <w:pPr>
        <w:jc w:val="center"/>
        <w:rPr>
          <w:sz w:val="22"/>
          <w:szCs w:val="22"/>
        </w:rPr>
      </w:pPr>
    </w:p>
    <w:p w14:paraId="27869566" w14:textId="562845F5" w:rsidR="0088623E" w:rsidRPr="0088623E" w:rsidRDefault="0088623E" w:rsidP="0088623E">
      <w:pPr>
        <w:jc w:val="center"/>
        <w:rPr>
          <w:sz w:val="22"/>
          <w:szCs w:val="22"/>
        </w:rPr>
      </w:pPr>
      <w:r w:rsidRPr="0088623E">
        <w:rPr>
          <w:sz w:val="22"/>
          <w:szCs w:val="22"/>
        </w:rPr>
        <w:t xml:space="preserve">OBRAZLOŽENJE </w:t>
      </w:r>
      <w:r w:rsidR="007B5AFD">
        <w:rPr>
          <w:sz w:val="22"/>
          <w:szCs w:val="22"/>
        </w:rPr>
        <w:t>POSEBNOG DIJELA</w:t>
      </w:r>
    </w:p>
    <w:p w14:paraId="11C004A3" w14:textId="619EAF10" w:rsidR="0088623E" w:rsidRPr="00CE4102" w:rsidRDefault="0088623E" w:rsidP="0088623E">
      <w:pPr>
        <w:jc w:val="both"/>
        <w:rPr>
          <w:rFonts w:eastAsia="Calibri"/>
        </w:rPr>
      </w:pPr>
    </w:p>
    <w:p w14:paraId="65015C63" w14:textId="77777777" w:rsidR="00AA0281" w:rsidRPr="007B36E5" w:rsidRDefault="00AA0281" w:rsidP="00AA0281">
      <w:pPr>
        <w:rPr>
          <w:b/>
        </w:rPr>
      </w:pPr>
      <w:r w:rsidRPr="007B36E5">
        <w:rPr>
          <w:b/>
        </w:rPr>
        <w:t xml:space="preserve">SAŽETAK DJELOKRUGA RADA </w:t>
      </w:r>
    </w:p>
    <w:p w14:paraId="00424026" w14:textId="77777777" w:rsidR="00AA0281" w:rsidRPr="007B36E5" w:rsidRDefault="00AA0281" w:rsidP="00AA0281">
      <w:pPr>
        <w:rPr>
          <w:b/>
        </w:rPr>
      </w:pPr>
    </w:p>
    <w:p w14:paraId="08A3A0CA" w14:textId="77777777" w:rsidR="00AA0281" w:rsidRPr="007B36E5" w:rsidRDefault="00AA0281" w:rsidP="00AA0281">
      <w:pPr>
        <w:jc w:val="both"/>
      </w:pPr>
      <w:r w:rsidRPr="007B36E5">
        <w:t xml:space="preserve">Nastavni zavod za javno zdravstvo Istarske županije je zdravstvena ustanova koja obavlja preventivnu javnozdravstvenu djelatnosti na području Istarske županije. Sukladno odredbama Zakona o zdravstvenoj zaštiti (NN 100/18, NN 125/19, 147/20, 119/22, 156/22, 33/23) ustanova obavlja djelatnost epidemiologije, mikrobiologije, javnog zdravstva i promicanja zdravlja, zdravstvene ekologije, školske i adolescentne medicine, zaštitu mentalnog zdravlja i prevenciju ovisnosti na području Istarske županije. Novelom Zakona o zdravstvenoj zaštiti (u daljnjem tekstu: Zakon), (NN 33/23) mijenjan je članak 134. stavak 2. koji uređuje djelatnosti zavoda za javno zdravstvo jedinica područne (regionalne) samouprave odnosno Grada Zagreba, pa su tako uz prethodne djelatnosti, nadodane djelatnosti medicine rada / medicine rada i sporta. Ustanova je pokrenula Odlukom Upravnog vijeća o prijedlogu proširenja djelatnosti ustanove, Broj: 02/01-421/1-23 od 28.08.2023. godine, postupak usklađenja djelatnosti sa odredbama Zakona. U rujnu 2023.g. zaprimljeno je pozitivno Mišljenje HZZO-a o opravdanosti proširenja djelatnosti zdravstvene ustanove, a u studenom 2023. godine, pozitivno mišljenje o proširenju djelatnosti ustanove medicinom rada / medicinom rada i sporta, dala je i Hrvatska liječnička komora. U prosincu 2023. godine donesena je odluka Skupštine Istarske županije o davanju suglasnosti ustanovi na prijedlog proširenja djelatnosti nakon čega će se dalje postupati u smislu izmjena Statua.  </w:t>
      </w:r>
    </w:p>
    <w:p w14:paraId="085C1498" w14:textId="77777777" w:rsidR="00AA0281" w:rsidRPr="007B36E5" w:rsidRDefault="00AA0281" w:rsidP="00AA0281">
      <w:pPr>
        <w:jc w:val="both"/>
        <w:rPr>
          <w:b/>
          <w:u w:val="single"/>
        </w:rPr>
      </w:pPr>
    </w:p>
    <w:p w14:paraId="4F8EB757" w14:textId="77777777" w:rsidR="00AA0281" w:rsidRDefault="00AA0281" w:rsidP="00AA0281">
      <w:pPr>
        <w:rPr>
          <w:b/>
          <w:u w:val="single"/>
        </w:rPr>
      </w:pPr>
    </w:p>
    <w:p w14:paraId="696CBB20" w14:textId="77777777" w:rsidR="000B7339" w:rsidRPr="007B36E5" w:rsidRDefault="000B7339" w:rsidP="00AA0281">
      <w:pPr>
        <w:rPr>
          <w:b/>
          <w:u w:val="single"/>
        </w:rPr>
      </w:pPr>
    </w:p>
    <w:p w14:paraId="36088201" w14:textId="77777777" w:rsidR="0089360C" w:rsidRDefault="0089360C">
      <w:pPr>
        <w:spacing w:after="160" w:line="259" w:lineRule="auto"/>
        <w:rPr>
          <w:b/>
        </w:rPr>
      </w:pPr>
      <w:r>
        <w:rPr>
          <w:b/>
        </w:rPr>
        <w:br w:type="page"/>
      </w:r>
    </w:p>
    <w:p w14:paraId="311C7507" w14:textId="332BE54D" w:rsidR="00AA0281" w:rsidRPr="007B36E5" w:rsidRDefault="00AA0281" w:rsidP="00AA0281">
      <w:pPr>
        <w:pStyle w:val="ListParagraph"/>
        <w:numPr>
          <w:ilvl w:val="0"/>
          <w:numId w:val="21"/>
        </w:numPr>
        <w:ind w:left="357" w:hanging="357"/>
        <w:rPr>
          <w:b/>
        </w:rPr>
      </w:pPr>
      <w:r w:rsidRPr="007B36E5">
        <w:rPr>
          <w:b/>
        </w:rPr>
        <w:lastRenderedPageBreak/>
        <w:t xml:space="preserve">PROGRAM: ZDRAVSTVENE USTANOVE - DECENTRALIZIRANE FUNKCIJE </w:t>
      </w:r>
    </w:p>
    <w:p w14:paraId="2BC25A1F" w14:textId="77777777" w:rsidR="00AA0281" w:rsidRPr="007B36E5" w:rsidRDefault="00AA0281" w:rsidP="00AA0281">
      <w:pPr>
        <w:rPr>
          <w:b/>
        </w:rPr>
      </w:pPr>
    </w:p>
    <w:p w14:paraId="5A08232A" w14:textId="77777777" w:rsidR="00AA0281" w:rsidRPr="007B36E5" w:rsidRDefault="00AA0281" w:rsidP="00AA0281">
      <w:r w:rsidRPr="007B36E5">
        <w:t>Nastavni zavod za javno zdravstvo Istarske županije će po ovom Programu provoditi:</w:t>
      </w:r>
    </w:p>
    <w:p w14:paraId="0539DC2D" w14:textId="77777777" w:rsidR="00AA0281" w:rsidRPr="007B36E5" w:rsidRDefault="00AA0281" w:rsidP="00AA0281"/>
    <w:p w14:paraId="17C05CA1" w14:textId="77777777" w:rsidR="00AA0281" w:rsidRPr="007B36E5" w:rsidRDefault="00AA0281" w:rsidP="00AA0281">
      <w:pPr>
        <w:pStyle w:val="ListParagraph"/>
        <w:numPr>
          <w:ilvl w:val="1"/>
          <w:numId w:val="21"/>
        </w:numPr>
        <w:ind w:left="357" w:hanging="357"/>
        <w:rPr>
          <w:b/>
          <w:bCs/>
        </w:rPr>
      </w:pPr>
      <w:r w:rsidRPr="007B36E5">
        <w:rPr>
          <w:b/>
          <w:bCs/>
        </w:rPr>
        <w:t xml:space="preserve">AKTIVNOST: Investicijsko ulaganje </w:t>
      </w:r>
    </w:p>
    <w:p w14:paraId="49AE3B65" w14:textId="77777777" w:rsidR="00AA0281" w:rsidRPr="007B36E5" w:rsidRDefault="00AA0281" w:rsidP="00AA0281">
      <w:pPr>
        <w:ind w:left="360"/>
        <w:rPr>
          <w:b/>
          <w:bCs/>
        </w:rPr>
      </w:pPr>
    </w:p>
    <w:p w14:paraId="3C29604B" w14:textId="77777777" w:rsidR="00AA0281" w:rsidRPr="007B36E5" w:rsidRDefault="00AA0281" w:rsidP="00AA0281">
      <w:pPr>
        <w:pStyle w:val="ListParagraph"/>
        <w:numPr>
          <w:ilvl w:val="0"/>
          <w:numId w:val="20"/>
        </w:numPr>
        <w:jc w:val="both"/>
      </w:pPr>
      <w:r w:rsidRPr="007B36E5">
        <w:rPr>
          <w:b/>
        </w:rPr>
        <w:t xml:space="preserve">Obrazloženje: </w:t>
      </w:r>
      <w:r w:rsidRPr="007B36E5">
        <w:rPr>
          <w:bCs/>
        </w:rPr>
        <w:t>Nabavit će se planirana medicinska i laboratorijska oprema za Službu za mikrobiologiju i Službu za zdravstvenu ekologiju</w:t>
      </w:r>
      <w:r w:rsidRPr="007B36E5">
        <w:t>.</w:t>
      </w:r>
    </w:p>
    <w:p w14:paraId="1A5FE57B" w14:textId="77777777" w:rsidR="00AA0281" w:rsidRPr="007B36E5" w:rsidRDefault="00AA0281" w:rsidP="00AA0281">
      <w:pPr>
        <w:rPr>
          <w:b/>
        </w:rPr>
      </w:pPr>
    </w:p>
    <w:p w14:paraId="6BF3570E" w14:textId="77777777" w:rsidR="00AA0281" w:rsidRPr="007B36E5" w:rsidRDefault="00AA0281" w:rsidP="00AA0281">
      <w:pPr>
        <w:pStyle w:val="ListParagraph"/>
        <w:numPr>
          <w:ilvl w:val="0"/>
          <w:numId w:val="20"/>
        </w:numPr>
        <w:rPr>
          <w:b/>
          <w:szCs w:val="18"/>
        </w:rPr>
      </w:pPr>
      <w:r w:rsidRPr="007B36E5">
        <w:rPr>
          <w:b/>
          <w:szCs w:val="18"/>
        </w:rPr>
        <w:t>Cilj uspješnosti</w:t>
      </w:r>
    </w:p>
    <w:p w14:paraId="715F96D7" w14:textId="77777777" w:rsidR="00AA0281" w:rsidRDefault="00AA0281" w:rsidP="00AA0281">
      <w:pPr>
        <w:rPr>
          <w:rFonts w:cs="Arial"/>
          <w:color w:val="FF0000"/>
        </w:rPr>
      </w:pPr>
    </w:p>
    <w:tbl>
      <w:tblPr>
        <w:tblW w:w="9356" w:type="dxa"/>
        <w:tblInd w:w="-147" w:type="dxa"/>
        <w:tblLook w:val="04A0" w:firstRow="1" w:lastRow="0" w:firstColumn="1" w:lastColumn="0" w:noHBand="0" w:noVBand="1"/>
      </w:tblPr>
      <w:tblGrid>
        <w:gridCol w:w="3100"/>
        <w:gridCol w:w="2400"/>
        <w:gridCol w:w="1985"/>
        <w:gridCol w:w="1871"/>
      </w:tblGrid>
      <w:tr w:rsidR="00AA0281" w:rsidRPr="00C2138A" w14:paraId="2F4C2516" w14:textId="77777777" w:rsidTr="0089360C">
        <w:trPr>
          <w:trHeight w:val="494"/>
        </w:trPr>
        <w:tc>
          <w:tcPr>
            <w:tcW w:w="310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7B2A9F87"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D36EDC3"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12112D54" w14:textId="77777777" w:rsidTr="00087D34">
        <w:trPr>
          <w:trHeight w:val="570"/>
        </w:trPr>
        <w:tc>
          <w:tcPr>
            <w:tcW w:w="3100" w:type="dxa"/>
            <w:vMerge/>
            <w:tcBorders>
              <w:top w:val="single" w:sz="4" w:space="0" w:color="auto"/>
              <w:left w:val="single" w:sz="4" w:space="0" w:color="auto"/>
              <w:bottom w:val="single" w:sz="4" w:space="0" w:color="000000"/>
              <w:right w:val="nil"/>
            </w:tcBorders>
            <w:vAlign w:val="center"/>
            <w:hideMark/>
          </w:tcPr>
          <w:p w14:paraId="17378F44" w14:textId="77777777" w:rsidR="00AA0281" w:rsidRPr="000E330E" w:rsidRDefault="00AA0281" w:rsidP="007B5AFD">
            <w:pPr>
              <w:rPr>
                <w:rFonts w:ascii="Arial Narrow" w:hAnsi="Arial Narrow" w:cs="Calibri"/>
                <w:b/>
                <w:bCs/>
                <w:color w:val="000000"/>
                <w:sz w:val="18"/>
                <w:szCs w:val="18"/>
                <w:lang w:eastAsia="hr-HR"/>
              </w:rPr>
            </w:pPr>
          </w:p>
        </w:tc>
        <w:tc>
          <w:tcPr>
            <w:tcW w:w="2400" w:type="dxa"/>
            <w:tcBorders>
              <w:top w:val="nil"/>
              <w:left w:val="single" w:sz="4" w:space="0" w:color="auto"/>
              <w:bottom w:val="single" w:sz="4" w:space="0" w:color="auto"/>
              <w:right w:val="single" w:sz="4" w:space="0" w:color="auto"/>
            </w:tcBorders>
            <w:shd w:val="clear" w:color="000000" w:fill="F2F2F2"/>
            <w:noWrap/>
            <w:vAlign w:val="center"/>
            <w:hideMark/>
          </w:tcPr>
          <w:p w14:paraId="497FE81D"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1985" w:type="dxa"/>
            <w:tcBorders>
              <w:top w:val="nil"/>
              <w:left w:val="nil"/>
              <w:bottom w:val="single" w:sz="4" w:space="0" w:color="auto"/>
              <w:right w:val="single" w:sz="4" w:space="0" w:color="auto"/>
            </w:tcBorders>
            <w:shd w:val="clear" w:color="000000" w:fill="F2F2F2"/>
            <w:noWrap/>
            <w:vAlign w:val="center"/>
            <w:hideMark/>
          </w:tcPr>
          <w:p w14:paraId="4AF87428"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871" w:type="dxa"/>
            <w:tcBorders>
              <w:top w:val="nil"/>
              <w:left w:val="nil"/>
              <w:bottom w:val="single" w:sz="4" w:space="0" w:color="auto"/>
              <w:right w:val="single" w:sz="4" w:space="0" w:color="auto"/>
            </w:tcBorders>
            <w:shd w:val="clear" w:color="000000" w:fill="F2F2F2"/>
            <w:vAlign w:val="center"/>
            <w:hideMark/>
          </w:tcPr>
          <w:p w14:paraId="388CF148" w14:textId="1F39C799"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 xml:space="preserve"> TROŠAK PROVEDBE MJERE</w:t>
            </w:r>
            <w:r w:rsidR="00417B34" w:rsidRPr="000E330E">
              <w:rPr>
                <w:rFonts w:ascii="Arial Narrow" w:hAnsi="Arial Narrow" w:cs="Calibri"/>
                <w:b/>
                <w:bCs/>
                <w:sz w:val="18"/>
                <w:szCs w:val="18"/>
                <w:lang w:eastAsia="hr-HR"/>
              </w:rPr>
              <w:t>-OSIGURANA SREDSTVA U PRORAČUNU IŽ</w:t>
            </w:r>
          </w:p>
        </w:tc>
      </w:tr>
      <w:tr w:rsidR="00AA0281" w:rsidRPr="000A0B0D" w14:paraId="00D23995" w14:textId="77777777" w:rsidTr="00087D34">
        <w:trPr>
          <w:trHeight w:val="106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8049EA5"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2.2.3. Osiguravanje suvremenih i ekološki održivih infrastrukturnih kapaciteta za pružanje zdravstvene zaštite   </w:t>
            </w:r>
          </w:p>
        </w:tc>
        <w:tc>
          <w:tcPr>
            <w:tcW w:w="2400" w:type="dxa"/>
            <w:tcBorders>
              <w:top w:val="nil"/>
              <w:left w:val="nil"/>
              <w:bottom w:val="single" w:sz="4" w:space="0" w:color="auto"/>
              <w:right w:val="single" w:sz="4" w:space="0" w:color="auto"/>
            </w:tcBorders>
            <w:shd w:val="clear" w:color="auto" w:fill="auto"/>
            <w:vAlign w:val="center"/>
            <w:hideMark/>
          </w:tcPr>
          <w:p w14:paraId="24470373"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4201 Zdravstvene ustanove-decentralizirane funkcije</w:t>
            </w:r>
          </w:p>
        </w:tc>
        <w:tc>
          <w:tcPr>
            <w:tcW w:w="1985" w:type="dxa"/>
            <w:tcBorders>
              <w:top w:val="nil"/>
              <w:left w:val="nil"/>
              <w:bottom w:val="single" w:sz="4" w:space="0" w:color="auto"/>
              <w:right w:val="single" w:sz="4" w:space="0" w:color="auto"/>
            </w:tcBorders>
            <w:shd w:val="clear" w:color="auto" w:fill="auto"/>
            <w:noWrap/>
            <w:vAlign w:val="center"/>
            <w:hideMark/>
          </w:tcPr>
          <w:p w14:paraId="535C0EA5" w14:textId="77777777" w:rsidR="00AA0281" w:rsidRPr="000D2CB2" w:rsidRDefault="00AA0281" w:rsidP="007B5AFD">
            <w:pPr>
              <w:jc w:val="center"/>
              <w:rPr>
                <w:rFonts w:ascii="Arial Narrow" w:hAnsi="Arial Narrow" w:cstheme="minorHAnsi"/>
                <w:sz w:val="20"/>
                <w:szCs w:val="20"/>
                <w:lang w:eastAsia="hr-HR"/>
              </w:rPr>
            </w:pPr>
            <w:r w:rsidRPr="000D2CB2">
              <w:rPr>
                <w:rFonts w:ascii="Arial Narrow" w:hAnsi="Arial Narrow" w:cstheme="minorHAnsi"/>
                <w:sz w:val="20"/>
                <w:szCs w:val="20"/>
                <w:lang w:eastAsia="hr-HR"/>
              </w:rPr>
              <w:t>K421102 Investicijsko ulaganje</w:t>
            </w:r>
          </w:p>
        </w:tc>
        <w:tc>
          <w:tcPr>
            <w:tcW w:w="1871" w:type="dxa"/>
            <w:tcBorders>
              <w:top w:val="nil"/>
              <w:left w:val="nil"/>
              <w:bottom w:val="single" w:sz="4" w:space="0" w:color="auto"/>
              <w:right w:val="single" w:sz="4" w:space="0" w:color="auto"/>
            </w:tcBorders>
            <w:shd w:val="clear" w:color="auto" w:fill="auto"/>
            <w:noWrap/>
            <w:vAlign w:val="center"/>
            <w:hideMark/>
          </w:tcPr>
          <w:p w14:paraId="0DAAAECE" w14:textId="77777777" w:rsidR="00AA0281" w:rsidRPr="000D2CB2" w:rsidRDefault="00AA0281" w:rsidP="007B5AFD">
            <w:pPr>
              <w:rPr>
                <w:rFonts w:ascii="Arial Narrow" w:hAnsi="Arial Narrow" w:cs="Calibri"/>
                <w:bCs/>
                <w:sz w:val="20"/>
                <w:szCs w:val="20"/>
              </w:rPr>
            </w:pPr>
            <w:r w:rsidRPr="000D2CB2">
              <w:rPr>
                <w:rFonts w:ascii="Arial Narrow" w:hAnsi="Arial Narrow" w:cs="Calibri"/>
                <w:bCs/>
                <w:color w:val="FF0000"/>
                <w:sz w:val="20"/>
                <w:szCs w:val="20"/>
              </w:rPr>
              <w:t xml:space="preserve">    </w:t>
            </w:r>
            <w:r w:rsidRPr="000D2CB2">
              <w:rPr>
                <w:rFonts w:ascii="Arial Narrow" w:hAnsi="Arial Narrow" w:cs="Calibri"/>
                <w:bCs/>
                <w:sz w:val="20"/>
                <w:szCs w:val="20"/>
              </w:rPr>
              <w:t>66.362,00 EUR</w:t>
            </w:r>
          </w:p>
          <w:p w14:paraId="6800C6A9" w14:textId="77777777" w:rsidR="00AA0281" w:rsidRPr="000D2CB2" w:rsidRDefault="00AA0281" w:rsidP="007B5AFD">
            <w:pPr>
              <w:jc w:val="center"/>
              <w:rPr>
                <w:rFonts w:ascii="Arial Narrow" w:hAnsi="Arial Narrow" w:cs="Calibri"/>
                <w:color w:val="FF0000"/>
                <w:sz w:val="20"/>
                <w:szCs w:val="20"/>
                <w:lang w:eastAsia="hr-HR"/>
              </w:rPr>
            </w:pPr>
          </w:p>
        </w:tc>
      </w:tr>
    </w:tbl>
    <w:p w14:paraId="4F188869" w14:textId="77777777" w:rsidR="007C3562" w:rsidRDefault="007C3562" w:rsidP="00AA0281">
      <w:pPr>
        <w:rPr>
          <w:rFonts w:cs="Arial"/>
        </w:rPr>
      </w:pPr>
    </w:p>
    <w:p w14:paraId="0C10C0B5" w14:textId="77777777" w:rsidR="00AA0281" w:rsidRPr="007B36E5" w:rsidRDefault="00AA0281" w:rsidP="00AA0281">
      <w:pPr>
        <w:pStyle w:val="ListParagraph"/>
        <w:numPr>
          <w:ilvl w:val="0"/>
          <w:numId w:val="28"/>
        </w:numPr>
        <w:rPr>
          <w:b/>
        </w:rPr>
      </w:pPr>
      <w:r w:rsidRPr="007B36E5">
        <w:rPr>
          <w:b/>
        </w:rPr>
        <w:t>Pokazatelji uspješnosti</w:t>
      </w:r>
    </w:p>
    <w:p w14:paraId="79BD9164" w14:textId="77777777" w:rsidR="00AA0281" w:rsidRPr="000A0B0D" w:rsidRDefault="00AA0281" w:rsidP="00AA0281">
      <w:pPr>
        <w:rPr>
          <w:rFonts w:cs="Arial"/>
        </w:rPr>
      </w:pPr>
    </w:p>
    <w:tbl>
      <w:tblPr>
        <w:tblW w:w="8974" w:type="dxa"/>
        <w:tblInd w:w="93" w:type="dxa"/>
        <w:tblLook w:val="04A0" w:firstRow="1" w:lastRow="0" w:firstColumn="1" w:lastColumn="0" w:noHBand="0" w:noVBand="1"/>
      </w:tblPr>
      <w:tblGrid>
        <w:gridCol w:w="5147"/>
        <w:gridCol w:w="1276"/>
        <w:gridCol w:w="1362"/>
        <w:gridCol w:w="1189"/>
      </w:tblGrid>
      <w:tr w:rsidR="00AA0281" w:rsidRPr="000A0B0D" w14:paraId="1939C16A" w14:textId="77777777" w:rsidTr="007B5AFD">
        <w:trPr>
          <w:trHeight w:val="480"/>
        </w:trPr>
        <w:tc>
          <w:tcPr>
            <w:tcW w:w="5147" w:type="dxa"/>
            <w:tcBorders>
              <w:top w:val="single" w:sz="4" w:space="0" w:color="auto"/>
              <w:left w:val="single" w:sz="4" w:space="0" w:color="auto"/>
              <w:bottom w:val="single" w:sz="4" w:space="0" w:color="000000"/>
              <w:right w:val="nil"/>
            </w:tcBorders>
            <w:shd w:val="clear" w:color="000000" w:fill="F2F2F2"/>
            <w:vAlign w:val="center"/>
            <w:hideMark/>
          </w:tcPr>
          <w:p w14:paraId="787FA345" w14:textId="77777777" w:rsidR="00AA0281" w:rsidRPr="000E330E" w:rsidRDefault="00AA0281" w:rsidP="007B5AFD">
            <w:pPr>
              <w:rPr>
                <w:rFonts w:ascii="Arial Narrow" w:hAnsi="Arial Narrow" w:cs="Calibri"/>
                <w:b/>
                <w:bCs/>
                <w:sz w:val="18"/>
                <w:szCs w:val="18"/>
                <w:lang w:eastAsia="hr-HR"/>
              </w:rPr>
            </w:pPr>
            <w:r w:rsidRPr="000E330E">
              <w:rPr>
                <w:rFonts w:ascii="Arial Narrow" w:hAnsi="Arial Narrow" w:cs="Calibri"/>
                <w:b/>
                <w:bCs/>
                <w:sz w:val="18"/>
                <w:szCs w:val="18"/>
                <w:lang w:eastAsia="hr-HR"/>
              </w:rPr>
              <w:t>Pokazatelj rezultata</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3A792EA"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Početna vrijednost 2022.</w:t>
            </w:r>
          </w:p>
        </w:tc>
        <w:tc>
          <w:tcPr>
            <w:tcW w:w="1362" w:type="dxa"/>
            <w:tcBorders>
              <w:top w:val="single" w:sz="4" w:space="0" w:color="auto"/>
              <w:left w:val="nil"/>
              <w:bottom w:val="single" w:sz="4" w:space="0" w:color="auto"/>
              <w:right w:val="single" w:sz="4" w:space="0" w:color="auto"/>
            </w:tcBorders>
            <w:shd w:val="clear" w:color="000000" w:fill="F2F2F2"/>
            <w:noWrap/>
            <w:vAlign w:val="center"/>
            <w:hideMark/>
          </w:tcPr>
          <w:p w14:paraId="5EBBF6CB"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Ciljna vrijednost 2023.</w:t>
            </w:r>
          </w:p>
        </w:tc>
        <w:tc>
          <w:tcPr>
            <w:tcW w:w="1189" w:type="dxa"/>
            <w:tcBorders>
              <w:top w:val="single" w:sz="4" w:space="0" w:color="auto"/>
              <w:left w:val="nil"/>
              <w:bottom w:val="single" w:sz="4" w:space="0" w:color="auto"/>
              <w:right w:val="single" w:sz="4" w:space="0" w:color="auto"/>
            </w:tcBorders>
            <w:shd w:val="clear" w:color="000000" w:fill="F2F2F2"/>
            <w:noWrap/>
            <w:vAlign w:val="center"/>
            <w:hideMark/>
          </w:tcPr>
          <w:p w14:paraId="6BF7B724"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0A0B0D" w14:paraId="73A2A193" w14:textId="77777777" w:rsidTr="007B5AFD">
        <w:trPr>
          <w:trHeight w:val="570"/>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14:paraId="57BDB12F" w14:textId="77777777" w:rsidR="00AA0281" w:rsidRPr="000D2CB2" w:rsidRDefault="00AA0281" w:rsidP="007B5AFD">
            <w:pPr>
              <w:rPr>
                <w:rFonts w:ascii="Arial Narrow" w:hAnsi="Arial Narrow" w:cs="Calibri"/>
                <w:bCs/>
                <w:sz w:val="20"/>
                <w:szCs w:val="20"/>
                <w:lang w:eastAsia="hr-HR"/>
              </w:rPr>
            </w:pPr>
            <w:r w:rsidRPr="000D2CB2">
              <w:rPr>
                <w:rFonts w:ascii="Arial Narrow" w:hAnsi="Arial Narrow" w:cs="Calibri"/>
                <w:bCs/>
                <w:sz w:val="20"/>
                <w:szCs w:val="20"/>
                <w:lang w:eastAsia="hr-HR"/>
              </w:rPr>
              <w:t>Količina nabavljene opreme i njihova pojedinačna vrijednost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434253" w14:textId="77777777" w:rsidR="00AA0281" w:rsidRPr="000D2CB2" w:rsidRDefault="00AA0281" w:rsidP="007B5AFD">
            <w:pPr>
              <w:jc w:val="center"/>
              <w:rPr>
                <w:rFonts w:ascii="Arial Narrow" w:hAnsi="Arial Narrow" w:cs="Calibri"/>
                <w:bCs/>
                <w:color w:val="FF0000"/>
                <w:sz w:val="20"/>
                <w:szCs w:val="20"/>
                <w:lang w:eastAsia="hr-HR"/>
              </w:rPr>
            </w:pPr>
            <w:r w:rsidRPr="000D2CB2">
              <w:rPr>
                <w:rFonts w:ascii="Arial Narrow" w:hAnsi="Arial Narrow" w:cs="Calibri"/>
                <w:bCs/>
                <w:sz w:val="20"/>
                <w:szCs w:val="20"/>
                <w:lang w:eastAsia="hr-HR"/>
              </w:rPr>
              <w:t>0</w:t>
            </w:r>
          </w:p>
        </w:tc>
        <w:tc>
          <w:tcPr>
            <w:tcW w:w="1362" w:type="dxa"/>
            <w:tcBorders>
              <w:top w:val="single" w:sz="4" w:space="0" w:color="auto"/>
              <w:left w:val="nil"/>
              <w:bottom w:val="single" w:sz="4" w:space="0" w:color="auto"/>
              <w:right w:val="single" w:sz="4" w:space="0" w:color="auto"/>
            </w:tcBorders>
            <w:shd w:val="clear" w:color="auto" w:fill="auto"/>
            <w:noWrap/>
            <w:vAlign w:val="center"/>
          </w:tcPr>
          <w:p w14:paraId="6654335B"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66.362,00</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474315A8" w14:textId="77777777" w:rsidR="00AA0281" w:rsidRPr="000D2CB2" w:rsidRDefault="00AA0281" w:rsidP="007B5AFD">
            <w:pPr>
              <w:jc w:val="center"/>
              <w:rPr>
                <w:rFonts w:ascii="Arial Narrow" w:hAnsi="Arial Narrow" w:cs="Calibri"/>
                <w:bCs/>
                <w:color w:val="FF0000"/>
                <w:sz w:val="20"/>
                <w:szCs w:val="20"/>
                <w:lang w:eastAsia="hr-HR"/>
              </w:rPr>
            </w:pPr>
            <w:r w:rsidRPr="000D2CB2">
              <w:rPr>
                <w:rFonts w:ascii="Arial Narrow" w:hAnsi="Arial Narrow" w:cs="Calibri"/>
                <w:bCs/>
                <w:sz w:val="20"/>
                <w:szCs w:val="20"/>
                <w:lang w:eastAsia="hr-HR"/>
              </w:rPr>
              <w:t>66.362,00</w:t>
            </w:r>
          </w:p>
        </w:tc>
      </w:tr>
    </w:tbl>
    <w:p w14:paraId="411D728C" w14:textId="77777777" w:rsidR="00AA0281" w:rsidRDefault="00AA0281" w:rsidP="00AA0281">
      <w:pPr>
        <w:rPr>
          <w:rFonts w:ascii="Arial" w:hAnsi="Arial" w:cs="Arial"/>
        </w:rPr>
      </w:pPr>
    </w:p>
    <w:p w14:paraId="21C03F4D" w14:textId="77777777" w:rsidR="00AA0281" w:rsidRPr="007B36E5" w:rsidRDefault="00AA0281" w:rsidP="00AA0281">
      <w:pPr>
        <w:rPr>
          <w:b/>
        </w:rPr>
      </w:pPr>
      <w:r w:rsidRPr="007B36E5">
        <w:rPr>
          <w:b/>
        </w:rPr>
        <w:t>Izvještaj o postignutim ciljevima i rezultatima programa temeljenim na pokazateljima uspješnosti:</w:t>
      </w:r>
    </w:p>
    <w:p w14:paraId="674929AA" w14:textId="77777777" w:rsidR="00AA0281" w:rsidRPr="007B36E5" w:rsidRDefault="00AA0281" w:rsidP="00AA0281">
      <w:pPr>
        <w:jc w:val="both"/>
      </w:pPr>
      <w:r w:rsidRPr="007B36E5">
        <w:t>Realizirana je nabava osnovnih sredstava za Službe za mikrobiologiju odnosno zdravstvenu ekologiju: aparat za demineraliziranu vodu (u iznosu od 6.768,86 EUR), biokabinet (4.910,74 EUR), m</w:t>
      </w:r>
      <w:r w:rsidRPr="007B36E5">
        <w:rPr>
          <w:lang w:eastAsia="hr-HR"/>
        </w:rPr>
        <w:t xml:space="preserve">ikrovalna pećnica (32.119,52 </w:t>
      </w:r>
      <w:r w:rsidRPr="007B36E5">
        <w:t>EUR</w:t>
      </w:r>
      <w:r w:rsidRPr="007B36E5">
        <w:rPr>
          <w:lang w:eastAsia="hr-HR"/>
        </w:rPr>
        <w:t xml:space="preserve">), sustav sa integriranom i automatiziranom platformom za izolaciju nukleinskih kiselina i provedbu lančane reakcije polimerazom u realnom vremenu različitih patogena (22.562,88 </w:t>
      </w:r>
      <w:r w:rsidRPr="007B36E5">
        <w:t>EUR</w:t>
      </w:r>
      <w:r w:rsidRPr="007B36E5">
        <w:rPr>
          <w:lang w:eastAsia="hr-HR"/>
        </w:rPr>
        <w:t>).</w:t>
      </w:r>
    </w:p>
    <w:p w14:paraId="5BD5CEB8" w14:textId="77777777" w:rsidR="00AA0281" w:rsidRDefault="00AA0281" w:rsidP="00AA0281">
      <w:pPr>
        <w:rPr>
          <w:b/>
          <w:u w:val="single"/>
        </w:rPr>
      </w:pPr>
    </w:p>
    <w:p w14:paraId="482AE79F" w14:textId="77777777" w:rsidR="000157DD" w:rsidRDefault="000157DD" w:rsidP="00AA0281">
      <w:pPr>
        <w:rPr>
          <w:b/>
          <w:u w:val="single"/>
        </w:rPr>
      </w:pPr>
    </w:p>
    <w:p w14:paraId="62FB6B98" w14:textId="77777777" w:rsidR="007C3562" w:rsidRPr="007B36E5" w:rsidRDefault="007C3562" w:rsidP="00AA0281">
      <w:pPr>
        <w:rPr>
          <w:b/>
          <w:u w:val="single"/>
        </w:rPr>
      </w:pPr>
    </w:p>
    <w:p w14:paraId="34683ECA" w14:textId="77777777" w:rsidR="00AA0281" w:rsidRPr="007B36E5" w:rsidRDefault="00AA0281" w:rsidP="00AA0281">
      <w:pPr>
        <w:pStyle w:val="ListParagraph"/>
        <w:numPr>
          <w:ilvl w:val="0"/>
          <w:numId w:val="27"/>
        </w:numPr>
        <w:ind w:left="357" w:hanging="357"/>
        <w:rPr>
          <w:b/>
        </w:rPr>
      </w:pPr>
      <w:r w:rsidRPr="007B36E5">
        <w:rPr>
          <w:b/>
        </w:rPr>
        <w:t>PROGRAM: PROGRAMI IZNAD STANDARDA UGOVORENOG S HZZO</w:t>
      </w:r>
    </w:p>
    <w:p w14:paraId="1E3D8BF9" w14:textId="77777777" w:rsidR="00AA0281" w:rsidRPr="007B36E5" w:rsidRDefault="00AA0281" w:rsidP="00AA0281">
      <w:pPr>
        <w:rPr>
          <w:b/>
          <w:u w:val="single"/>
        </w:rPr>
      </w:pPr>
    </w:p>
    <w:p w14:paraId="3A2F98F6" w14:textId="77777777" w:rsidR="00AA0281" w:rsidRPr="007B36E5" w:rsidRDefault="00AA0281" w:rsidP="00AA0281">
      <w:pPr>
        <w:pStyle w:val="ListParagraph"/>
        <w:numPr>
          <w:ilvl w:val="1"/>
          <w:numId w:val="27"/>
        </w:numPr>
        <w:tabs>
          <w:tab w:val="right" w:pos="8313"/>
        </w:tabs>
        <w:rPr>
          <w:b/>
          <w:bCs/>
        </w:rPr>
      </w:pPr>
      <w:r w:rsidRPr="007B36E5">
        <w:rPr>
          <w:b/>
          <w:bCs/>
        </w:rPr>
        <w:t xml:space="preserve">AKTIVNOST: </w:t>
      </w:r>
      <w:r w:rsidRPr="007B36E5">
        <w:rPr>
          <w:rFonts w:eastAsia="Calibri"/>
          <w:b/>
          <w:bCs/>
        </w:rPr>
        <w:t xml:space="preserve">Monitoring rada zdravstvenih ustanova i ordinacija  </w:t>
      </w:r>
    </w:p>
    <w:p w14:paraId="4F0BF679" w14:textId="77777777" w:rsidR="00AA0281" w:rsidRPr="007B36E5" w:rsidRDefault="00AA0281" w:rsidP="00AA0281">
      <w:pPr>
        <w:tabs>
          <w:tab w:val="right" w:pos="8313"/>
        </w:tabs>
        <w:rPr>
          <w:b/>
        </w:rPr>
      </w:pPr>
    </w:p>
    <w:p w14:paraId="18FB6962" w14:textId="29BD78A7" w:rsidR="00AA0281" w:rsidRPr="0089360C" w:rsidRDefault="00AA0281" w:rsidP="000E330E">
      <w:pPr>
        <w:pStyle w:val="ListParagraph"/>
        <w:numPr>
          <w:ilvl w:val="0"/>
          <w:numId w:val="28"/>
        </w:numPr>
        <w:tabs>
          <w:tab w:val="right" w:pos="8313"/>
        </w:tabs>
        <w:jc w:val="both"/>
        <w:rPr>
          <w:b/>
        </w:rPr>
      </w:pPr>
      <w:r w:rsidRPr="0089360C">
        <w:rPr>
          <w:b/>
          <w:color w:val="000000"/>
        </w:rPr>
        <w:t xml:space="preserve">Obrazloženje: </w:t>
      </w:r>
      <w:r w:rsidRPr="0089360C">
        <w:rPr>
          <w:rFonts w:eastAsia="Calibri"/>
          <w:bCs/>
        </w:rPr>
        <w:t xml:space="preserve">Prikupit će se i kontrolirati zdravstveno - statistički izvještaji iz svih zdravstvenih ustanova i ordinacija (javnih i privatnih), pružati stručno-metodološku pomoć u popunjavanju izvještajnih obrazaca te na osnovi prikupljenih, ali i drugih izvora podataka za potrebe Istarske županije izraditi analize zdravstvenog stanja stanovništva i rada zdravstvene djelatnosti (publikacija od oko 380 str.). Sredstva koja se ugovaraju s HZZO-om značajno su manja od </w:t>
      </w:r>
      <w:r w:rsidRPr="0089360C">
        <w:rPr>
          <w:bCs/>
        </w:rPr>
        <w:t>potreba Istarske županije i realnog opsega rada službe (razvijenost privatnog zdravstva).</w:t>
      </w:r>
      <w:r w:rsidRPr="0089360C">
        <w:rPr>
          <w:rFonts w:eastAsia="Calibri"/>
          <w:bCs/>
        </w:rPr>
        <w:t xml:space="preserve"> Godišnje praćenje i ocjena zdravstvenog stanja </w:t>
      </w:r>
      <w:r w:rsidRPr="0089360C">
        <w:rPr>
          <w:rFonts w:eastAsia="Calibri"/>
          <w:bCs/>
        </w:rPr>
        <w:lastRenderedPageBreak/>
        <w:t xml:space="preserve">stanovništva i rada zdravstvene djelatnosti, za potrebe Istarske županije, predstavlja mehanizam monitoringa zdravstvene zaštite i </w:t>
      </w:r>
      <w:r w:rsidRPr="007B36E5">
        <w:t xml:space="preserve">podrška razvoju javnozdravstvene politike. </w:t>
      </w:r>
    </w:p>
    <w:p w14:paraId="00069DE3" w14:textId="77777777" w:rsidR="00AA0281" w:rsidRPr="007B36E5" w:rsidRDefault="00AA0281" w:rsidP="00AA0281">
      <w:pPr>
        <w:rPr>
          <w:b/>
        </w:rPr>
      </w:pPr>
    </w:p>
    <w:p w14:paraId="18E3B34E" w14:textId="77777777" w:rsidR="00AA0281" w:rsidRPr="007B36E5" w:rsidRDefault="00AA0281" w:rsidP="00AA0281">
      <w:pPr>
        <w:pStyle w:val="ListParagraph"/>
        <w:ind w:left="360"/>
        <w:rPr>
          <w:b/>
        </w:rPr>
      </w:pPr>
      <w:r w:rsidRPr="007B36E5">
        <w:rPr>
          <w:b/>
        </w:rPr>
        <w:t>- Cilj uspješnosti</w:t>
      </w:r>
    </w:p>
    <w:p w14:paraId="726286C2" w14:textId="77777777" w:rsidR="00AA0281" w:rsidRPr="00952434" w:rsidRDefault="00AA0281" w:rsidP="00AA0281">
      <w:pPr>
        <w:pStyle w:val="ListParagraph"/>
        <w:ind w:left="360"/>
        <w:rPr>
          <w:rFonts w:ascii="Arial" w:hAnsi="Arial" w:cs="Arial"/>
          <w:b/>
        </w:rPr>
      </w:pPr>
    </w:p>
    <w:tbl>
      <w:tblPr>
        <w:tblW w:w="9258" w:type="dxa"/>
        <w:tblInd w:w="93" w:type="dxa"/>
        <w:tblLook w:val="04A0" w:firstRow="1" w:lastRow="0" w:firstColumn="1" w:lastColumn="0" w:noHBand="0" w:noVBand="1"/>
      </w:tblPr>
      <w:tblGrid>
        <w:gridCol w:w="2860"/>
        <w:gridCol w:w="2380"/>
        <w:gridCol w:w="2146"/>
        <w:gridCol w:w="1872"/>
      </w:tblGrid>
      <w:tr w:rsidR="00AA0281" w:rsidRPr="00C2138A" w14:paraId="0ED297A5" w14:textId="77777777" w:rsidTr="00EC19AB">
        <w:trPr>
          <w:trHeight w:val="54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48D8BCA7"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398"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DCA23F7"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61076F55" w14:textId="77777777" w:rsidTr="00EC19AB">
        <w:trPr>
          <w:trHeight w:val="750"/>
        </w:trPr>
        <w:tc>
          <w:tcPr>
            <w:tcW w:w="2860" w:type="dxa"/>
            <w:vMerge/>
            <w:tcBorders>
              <w:top w:val="single" w:sz="4" w:space="0" w:color="auto"/>
              <w:left w:val="single" w:sz="4" w:space="0" w:color="auto"/>
              <w:bottom w:val="single" w:sz="4" w:space="0" w:color="000000"/>
              <w:right w:val="nil"/>
            </w:tcBorders>
            <w:vAlign w:val="center"/>
            <w:hideMark/>
          </w:tcPr>
          <w:p w14:paraId="40105169"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4D0FF306"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146" w:type="dxa"/>
            <w:tcBorders>
              <w:top w:val="nil"/>
              <w:left w:val="nil"/>
              <w:bottom w:val="single" w:sz="4" w:space="0" w:color="auto"/>
              <w:right w:val="single" w:sz="4" w:space="0" w:color="auto"/>
            </w:tcBorders>
            <w:shd w:val="clear" w:color="000000" w:fill="F2F2F2"/>
            <w:noWrap/>
            <w:vAlign w:val="center"/>
            <w:hideMark/>
          </w:tcPr>
          <w:p w14:paraId="77EB0AC3"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872" w:type="dxa"/>
            <w:tcBorders>
              <w:top w:val="nil"/>
              <w:left w:val="nil"/>
              <w:bottom w:val="single" w:sz="4" w:space="0" w:color="auto"/>
              <w:right w:val="single" w:sz="4" w:space="0" w:color="auto"/>
            </w:tcBorders>
            <w:shd w:val="clear" w:color="000000" w:fill="F2F2F2"/>
            <w:vAlign w:val="center"/>
            <w:hideMark/>
          </w:tcPr>
          <w:p w14:paraId="0F08D606" w14:textId="4B65AD6C" w:rsidR="00AA0281" w:rsidRPr="000E330E" w:rsidRDefault="00EC19AB"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 xml:space="preserve">TROŠAK PROVEDBE MJERE-OSIGURANA SREDSTVA U PRORAČUNU IŽ </w:t>
            </w:r>
          </w:p>
        </w:tc>
      </w:tr>
      <w:tr w:rsidR="00AA0281" w:rsidRPr="00C2138A" w14:paraId="1E387BDD" w14:textId="77777777" w:rsidTr="00EC19AB">
        <w:trPr>
          <w:trHeight w:val="1113"/>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546F0D5"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 xml:space="preserve">2.2.1. Uvođenje i korištenje novih tehnologija u prevenciji, ranom otkrivanju, liječenju i rehabilitaciji </w:t>
            </w:r>
          </w:p>
        </w:tc>
        <w:tc>
          <w:tcPr>
            <w:tcW w:w="2380" w:type="dxa"/>
            <w:tcBorders>
              <w:top w:val="nil"/>
              <w:left w:val="nil"/>
              <w:bottom w:val="single" w:sz="4" w:space="0" w:color="auto"/>
              <w:right w:val="single" w:sz="4" w:space="0" w:color="auto"/>
            </w:tcBorders>
            <w:shd w:val="clear" w:color="auto" w:fill="auto"/>
            <w:vAlign w:val="center"/>
            <w:hideMark/>
          </w:tcPr>
          <w:p w14:paraId="3D921D3B"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 xml:space="preserve">4204 - Programi iznad standarda ugovorenog s HZZO; </w:t>
            </w:r>
          </w:p>
        </w:tc>
        <w:tc>
          <w:tcPr>
            <w:tcW w:w="2146" w:type="dxa"/>
            <w:tcBorders>
              <w:top w:val="single" w:sz="4" w:space="0" w:color="auto"/>
              <w:left w:val="nil"/>
              <w:bottom w:val="single" w:sz="4" w:space="0" w:color="auto"/>
              <w:right w:val="nil"/>
            </w:tcBorders>
            <w:shd w:val="clear" w:color="auto" w:fill="auto"/>
            <w:vAlign w:val="center"/>
            <w:hideMark/>
          </w:tcPr>
          <w:p w14:paraId="29783208"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A420413 Monitoring rada zdravstvenih ustanova i ordinacija</w:t>
            </w:r>
          </w:p>
        </w:tc>
        <w:tc>
          <w:tcPr>
            <w:tcW w:w="1872" w:type="dxa"/>
            <w:tcBorders>
              <w:top w:val="nil"/>
              <w:left w:val="single" w:sz="4" w:space="0" w:color="auto"/>
              <w:bottom w:val="single" w:sz="4" w:space="0" w:color="auto"/>
              <w:right w:val="single" w:sz="4" w:space="0" w:color="auto"/>
            </w:tcBorders>
            <w:shd w:val="clear" w:color="auto" w:fill="auto"/>
            <w:noWrap/>
            <w:vAlign w:val="center"/>
          </w:tcPr>
          <w:p w14:paraId="03242F55" w14:textId="77777777" w:rsidR="00AA0281" w:rsidRPr="000D2CB2" w:rsidRDefault="00AA0281" w:rsidP="007B5AFD">
            <w:pPr>
              <w:jc w:val="center"/>
              <w:rPr>
                <w:rFonts w:ascii="Arial Narrow" w:hAnsi="Arial Narrow" w:cs="Calibri"/>
                <w:color w:val="FF0000"/>
                <w:sz w:val="20"/>
                <w:szCs w:val="20"/>
                <w:lang w:eastAsia="hr-HR"/>
              </w:rPr>
            </w:pPr>
            <w:r w:rsidRPr="000D2CB2">
              <w:rPr>
                <w:rFonts w:ascii="Arial Narrow" w:hAnsi="Arial Narrow" w:cs="Calibri"/>
                <w:sz w:val="20"/>
                <w:szCs w:val="20"/>
                <w:lang w:eastAsia="hr-HR"/>
              </w:rPr>
              <w:t>47.117,00 EUR</w:t>
            </w:r>
          </w:p>
        </w:tc>
      </w:tr>
    </w:tbl>
    <w:p w14:paraId="395D7A77" w14:textId="77777777" w:rsidR="00F15D9E" w:rsidRDefault="00F15D9E" w:rsidP="00AA0281">
      <w:pPr>
        <w:rPr>
          <w:rFonts w:cs="Arial"/>
          <w:b/>
        </w:rPr>
      </w:pPr>
    </w:p>
    <w:p w14:paraId="27F15669" w14:textId="77777777" w:rsidR="003A0824" w:rsidRDefault="003A0824" w:rsidP="00AA0281">
      <w:pPr>
        <w:rPr>
          <w:rFonts w:cs="Arial"/>
          <w:b/>
        </w:rPr>
      </w:pPr>
    </w:p>
    <w:p w14:paraId="7D919842" w14:textId="77777777" w:rsidR="00AA0281" w:rsidRPr="007B36E5" w:rsidRDefault="00AA0281" w:rsidP="00AA0281">
      <w:pPr>
        <w:pStyle w:val="ListParagraph"/>
        <w:numPr>
          <w:ilvl w:val="0"/>
          <w:numId w:val="28"/>
        </w:numPr>
        <w:rPr>
          <w:b/>
        </w:rPr>
      </w:pPr>
      <w:r w:rsidRPr="007B36E5">
        <w:rPr>
          <w:b/>
        </w:rPr>
        <w:t>Pokazatelji uspješnosti</w:t>
      </w:r>
    </w:p>
    <w:p w14:paraId="558B0866" w14:textId="77777777" w:rsidR="00AA0281" w:rsidRPr="003422BA" w:rsidRDefault="00AA0281" w:rsidP="00AA0281">
      <w:pPr>
        <w:rPr>
          <w:rFonts w:cs="Arial"/>
          <w:b/>
        </w:rPr>
      </w:pPr>
    </w:p>
    <w:tbl>
      <w:tblPr>
        <w:tblW w:w="9116" w:type="dxa"/>
        <w:tblInd w:w="93" w:type="dxa"/>
        <w:tblLook w:val="04A0" w:firstRow="1" w:lastRow="0" w:firstColumn="1" w:lastColumn="0" w:noHBand="0" w:noVBand="1"/>
      </w:tblPr>
      <w:tblGrid>
        <w:gridCol w:w="4013"/>
        <w:gridCol w:w="1559"/>
        <w:gridCol w:w="1134"/>
        <w:gridCol w:w="2410"/>
      </w:tblGrid>
      <w:tr w:rsidR="00AA0281" w:rsidRPr="00C2138A" w14:paraId="6A46ABA8" w14:textId="77777777" w:rsidTr="007B5AFD">
        <w:trPr>
          <w:trHeight w:val="480"/>
        </w:trPr>
        <w:tc>
          <w:tcPr>
            <w:tcW w:w="4013" w:type="dxa"/>
            <w:tcBorders>
              <w:top w:val="single" w:sz="4" w:space="0" w:color="auto"/>
              <w:left w:val="single" w:sz="4" w:space="0" w:color="auto"/>
              <w:bottom w:val="single" w:sz="4" w:space="0" w:color="auto"/>
              <w:right w:val="nil"/>
            </w:tcBorders>
            <w:shd w:val="clear" w:color="000000" w:fill="F2F2F2"/>
            <w:vAlign w:val="center"/>
            <w:hideMark/>
          </w:tcPr>
          <w:p w14:paraId="51CE0499" w14:textId="77777777" w:rsidR="00AA0281" w:rsidRPr="000E330E" w:rsidRDefault="00AA0281" w:rsidP="007B5AFD">
            <w:pPr>
              <w:rPr>
                <w:rFonts w:ascii="Arial Narrow" w:hAnsi="Arial Narrow" w:cs="Calibri"/>
                <w:b/>
                <w:bCs/>
                <w:color w:val="000000"/>
                <w:sz w:val="18"/>
                <w:szCs w:val="18"/>
                <w:lang w:eastAsia="hr-HR"/>
              </w:rPr>
            </w:pPr>
            <w:bookmarkStart w:id="0" w:name="_Hlk159918300"/>
            <w:r w:rsidRPr="000E330E">
              <w:rPr>
                <w:rFonts w:ascii="Arial Narrow" w:hAnsi="Arial Narrow" w:cs="Calibri"/>
                <w:b/>
                <w:bCs/>
                <w:color w:val="000000"/>
                <w:sz w:val="18"/>
                <w:szCs w:val="18"/>
                <w:lang w:eastAsia="hr-HR"/>
              </w:rPr>
              <w:t>Pokazatelj rezultata</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7934FB9"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19666CDD"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2410" w:type="dxa"/>
            <w:tcBorders>
              <w:top w:val="single" w:sz="4" w:space="0" w:color="auto"/>
              <w:left w:val="nil"/>
              <w:bottom w:val="single" w:sz="4" w:space="0" w:color="auto"/>
              <w:right w:val="single" w:sz="4" w:space="0" w:color="auto"/>
            </w:tcBorders>
            <w:shd w:val="clear" w:color="000000" w:fill="F2F2F2"/>
            <w:noWrap/>
            <w:vAlign w:val="center"/>
            <w:hideMark/>
          </w:tcPr>
          <w:p w14:paraId="096B090B"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bookmarkEnd w:id="0"/>
      <w:tr w:rsidR="00AA0281" w:rsidRPr="008F5066" w14:paraId="52A9868F" w14:textId="77777777" w:rsidTr="007B5AFD">
        <w:trPr>
          <w:trHeight w:val="570"/>
        </w:trPr>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442DE" w14:textId="77777777" w:rsidR="00AA0281" w:rsidRPr="000D2CB2" w:rsidRDefault="00AA0281" w:rsidP="007B5AFD">
            <w:pPr>
              <w:rPr>
                <w:rFonts w:ascii="Arial Narrow" w:hAnsi="Arial Narrow" w:cs="Calibri"/>
                <w:bCs/>
                <w:sz w:val="20"/>
                <w:szCs w:val="20"/>
                <w:lang w:eastAsia="hr-HR"/>
              </w:rPr>
            </w:pPr>
            <w:r w:rsidRPr="000D2CB2">
              <w:rPr>
                <w:rFonts w:ascii="Arial Narrow" w:hAnsi="Arial Narrow" w:cs="Calibri"/>
                <w:bCs/>
                <w:sz w:val="20"/>
                <w:szCs w:val="20"/>
                <w:lang w:eastAsia="hr-HR"/>
              </w:rPr>
              <w:t>Udio prikupljenih, kontroliranih i unesenih izvješća o radu i pobolu iz primarne i specijalističko-konzilijarne zdravstvene zaštite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F61BA2"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97,4%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8EFFA7"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Više od 95%</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FF26F6D"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97,9%</w:t>
            </w:r>
          </w:p>
        </w:tc>
      </w:tr>
      <w:tr w:rsidR="00AA0281" w:rsidRPr="008F5066" w14:paraId="062C568D" w14:textId="77777777" w:rsidTr="007B5AFD">
        <w:trPr>
          <w:trHeight w:val="570"/>
        </w:trPr>
        <w:tc>
          <w:tcPr>
            <w:tcW w:w="4013" w:type="dxa"/>
            <w:tcBorders>
              <w:top w:val="nil"/>
              <w:left w:val="single" w:sz="4" w:space="0" w:color="auto"/>
              <w:bottom w:val="single" w:sz="4" w:space="0" w:color="auto"/>
              <w:right w:val="single" w:sz="4" w:space="0" w:color="auto"/>
            </w:tcBorders>
            <w:shd w:val="clear" w:color="auto" w:fill="auto"/>
            <w:noWrap/>
            <w:vAlign w:val="center"/>
          </w:tcPr>
          <w:p w14:paraId="4C9BED3F" w14:textId="77777777" w:rsidR="00AA0281" w:rsidRPr="000D2CB2" w:rsidRDefault="00AA0281" w:rsidP="007B5AFD">
            <w:pPr>
              <w:rPr>
                <w:rFonts w:ascii="Arial Narrow" w:hAnsi="Arial Narrow" w:cs="Calibri"/>
                <w:bCs/>
                <w:sz w:val="20"/>
                <w:szCs w:val="20"/>
                <w:lang w:eastAsia="hr-HR"/>
              </w:rPr>
            </w:pPr>
            <w:r w:rsidRPr="000D2CB2">
              <w:rPr>
                <w:rFonts w:ascii="Arial Narrow" w:hAnsi="Arial Narrow" w:cs="Calibri"/>
                <w:bCs/>
                <w:sz w:val="20"/>
                <w:szCs w:val="20"/>
                <w:lang w:eastAsia="hr-HR"/>
              </w:rPr>
              <w:t>Broj objavljenih godišnjih publikacija o zdravstvenom stanju stanovništva i radu zdravstvene djelatnosti</w:t>
            </w:r>
          </w:p>
        </w:tc>
        <w:tc>
          <w:tcPr>
            <w:tcW w:w="1559" w:type="dxa"/>
            <w:tcBorders>
              <w:top w:val="nil"/>
              <w:left w:val="nil"/>
              <w:bottom w:val="single" w:sz="4" w:space="0" w:color="auto"/>
              <w:right w:val="single" w:sz="4" w:space="0" w:color="auto"/>
            </w:tcBorders>
            <w:shd w:val="clear" w:color="auto" w:fill="auto"/>
            <w:noWrap/>
            <w:vAlign w:val="center"/>
            <w:hideMark/>
          </w:tcPr>
          <w:p w14:paraId="14E966CD"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1 </w:t>
            </w:r>
          </w:p>
        </w:tc>
        <w:tc>
          <w:tcPr>
            <w:tcW w:w="1134" w:type="dxa"/>
            <w:tcBorders>
              <w:top w:val="nil"/>
              <w:left w:val="nil"/>
              <w:bottom w:val="single" w:sz="4" w:space="0" w:color="auto"/>
              <w:right w:val="single" w:sz="4" w:space="0" w:color="auto"/>
            </w:tcBorders>
            <w:shd w:val="clear" w:color="auto" w:fill="auto"/>
            <w:noWrap/>
            <w:vAlign w:val="center"/>
            <w:hideMark/>
          </w:tcPr>
          <w:p w14:paraId="591982F0"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w:t>
            </w:r>
          </w:p>
        </w:tc>
        <w:tc>
          <w:tcPr>
            <w:tcW w:w="2410" w:type="dxa"/>
            <w:tcBorders>
              <w:top w:val="nil"/>
              <w:left w:val="nil"/>
              <w:bottom w:val="single" w:sz="4" w:space="0" w:color="auto"/>
              <w:right w:val="single" w:sz="4" w:space="0" w:color="auto"/>
            </w:tcBorders>
            <w:shd w:val="clear" w:color="auto" w:fill="auto"/>
            <w:noWrap/>
            <w:vAlign w:val="center"/>
            <w:hideMark/>
          </w:tcPr>
          <w:p w14:paraId="42C1216E"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1 </w:t>
            </w:r>
          </w:p>
        </w:tc>
      </w:tr>
    </w:tbl>
    <w:p w14:paraId="6E010DAD" w14:textId="77777777" w:rsidR="00AA0281" w:rsidRDefault="00AA0281" w:rsidP="00AA0281">
      <w:pPr>
        <w:rPr>
          <w:rFonts w:ascii="Arial" w:hAnsi="Arial"/>
          <w:b/>
        </w:rPr>
      </w:pPr>
    </w:p>
    <w:p w14:paraId="3976975D" w14:textId="77777777" w:rsidR="00AA0281" w:rsidRPr="007B36E5" w:rsidRDefault="00AA0281" w:rsidP="00AA0281">
      <w:pPr>
        <w:rPr>
          <w:b/>
        </w:rPr>
      </w:pPr>
      <w:r w:rsidRPr="007B36E5">
        <w:rPr>
          <w:b/>
        </w:rPr>
        <w:t>Izvještaj o postignutim ciljevima i rezultatima programa temeljenim na pokazateljima uspješnosti:</w:t>
      </w:r>
    </w:p>
    <w:p w14:paraId="1599ABD2" w14:textId="77777777" w:rsidR="00AA0281" w:rsidRPr="007B36E5" w:rsidRDefault="00AA0281" w:rsidP="00AA0281">
      <w:pPr>
        <w:jc w:val="both"/>
      </w:pPr>
      <w:r w:rsidRPr="007B36E5">
        <w:t xml:space="preserve">Prikupljena su i kontrolirana zdravstveno-statistička izvješća: godišnja izvješća za 2022. o radu i pobolu iz ustanova i ordinacija uz obuhvat od preko 95% (97,9%); organizacijskoj strukturi i kadrovima, radu bolnica, stacionara i dijaliza; individualni zapisi o liječenima u bolnici, dnevnoj bolnici i dijalizi, porodima i prekidima trudnoće te su dopunjeni podaci u suradnji s ustanovama prema zahtjevima nacionalnog sustava za prikupljanje podataka. </w:t>
      </w:r>
      <w:r w:rsidRPr="007B36E5">
        <w:rPr>
          <w:bCs/>
        </w:rPr>
        <w:t>Po zavr</w:t>
      </w:r>
      <w:r w:rsidRPr="007B36E5">
        <w:rPr>
          <w:lang w:val="pt-BR"/>
        </w:rPr>
        <w:t xml:space="preserve">šetku prikupljanja i unosa svih podataka za 2022.g., </w:t>
      </w:r>
      <w:r w:rsidRPr="007B36E5">
        <w:rPr>
          <w:bCs/>
        </w:rPr>
        <w:t>pripremljene su analize za prvo i konačno izdanje godišnje publikacije o zdravstvenom stanju stanovništva i radu zdravstvene djelatnosti u 2022.g.</w:t>
      </w:r>
    </w:p>
    <w:p w14:paraId="37488631" w14:textId="77777777" w:rsidR="00AA0281" w:rsidRDefault="00AA0281" w:rsidP="00AA0281">
      <w:pPr>
        <w:rPr>
          <w:b/>
        </w:rPr>
      </w:pPr>
    </w:p>
    <w:p w14:paraId="7C24B99A" w14:textId="77777777" w:rsidR="003A0824" w:rsidRDefault="003A0824" w:rsidP="00AA0281">
      <w:pPr>
        <w:rPr>
          <w:b/>
        </w:rPr>
      </w:pPr>
    </w:p>
    <w:p w14:paraId="246FDCFE" w14:textId="77777777" w:rsidR="000B7339" w:rsidRPr="007B36E5" w:rsidRDefault="000B7339" w:rsidP="00AA0281">
      <w:pPr>
        <w:rPr>
          <w:b/>
        </w:rPr>
      </w:pPr>
    </w:p>
    <w:p w14:paraId="7450D8BE" w14:textId="77777777" w:rsidR="00AA0281" w:rsidRPr="007B36E5" w:rsidRDefault="00AA0281" w:rsidP="00AA0281">
      <w:pPr>
        <w:pStyle w:val="ListParagraph"/>
        <w:numPr>
          <w:ilvl w:val="1"/>
          <w:numId w:val="27"/>
        </w:numPr>
        <w:tabs>
          <w:tab w:val="right" w:pos="8313"/>
        </w:tabs>
        <w:rPr>
          <w:b/>
          <w:bCs/>
        </w:rPr>
      </w:pPr>
      <w:r w:rsidRPr="007B36E5">
        <w:rPr>
          <w:b/>
          <w:bCs/>
        </w:rPr>
        <w:t xml:space="preserve">AKTIVNOST: Program HIV </w:t>
      </w:r>
    </w:p>
    <w:p w14:paraId="407772D4" w14:textId="77777777" w:rsidR="000B7339" w:rsidRPr="007B36E5" w:rsidRDefault="000B7339" w:rsidP="00AA0281">
      <w:pPr>
        <w:tabs>
          <w:tab w:val="right" w:pos="8313"/>
        </w:tabs>
      </w:pPr>
    </w:p>
    <w:p w14:paraId="4C7E2AD9" w14:textId="77777777" w:rsidR="00AA0281" w:rsidRPr="007B36E5" w:rsidRDefault="00AA0281" w:rsidP="00AA0281">
      <w:pPr>
        <w:pStyle w:val="ListParagraph"/>
        <w:numPr>
          <w:ilvl w:val="0"/>
          <w:numId w:val="28"/>
        </w:numPr>
        <w:tabs>
          <w:tab w:val="right" w:pos="8313"/>
        </w:tabs>
        <w:rPr>
          <w:b/>
        </w:rPr>
      </w:pPr>
      <w:r w:rsidRPr="007B36E5">
        <w:rPr>
          <w:b/>
          <w:color w:val="000000"/>
        </w:rPr>
        <w:t xml:space="preserve">Obrazloženje: </w:t>
      </w:r>
      <w:r w:rsidRPr="007B36E5">
        <w:t xml:space="preserve">Centar za </w:t>
      </w:r>
      <w:r w:rsidRPr="007B36E5">
        <w:rPr>
          <w:rStyle w:val="Strong"/>
        </w:rPr>
        <w:t>dobrovoljno, anonimno i besplatno savjetovanje i testiranje na HIV</w:t>
      </w:r>
      <w:r w:rsidRPr="007B36E5">
        <w:t xml:space="preserve"> za kojeg financijska sredstva osigurava Ministarstvo zdravlja. </w:t>
      </w:r>
    </w:p>
    <w:p w14:paraId="11A44A89" w14:textId="77777777" w:rsidR="000B7339" w:rsidRDefault="000B7339" w:rsidP="00AA0281"/>
    <w:p w14:paraId="42A147FE" w14:textId="77777777" w:rsidR="000B7339" w:rsidRPr="007B36E5" w:rsidRDefault="000B7339" w:rsidP="00AA0281"/>
    <w:p w14:paraId="43F16241" w14:textId="77777777" w:rsidR="0089360C" w:rsidRDefault="0089360C">
      <w:pPr>
        <w:spacing w:after="160" w:line="259" w:lineRule="auto"/>
        <w:rPr>
          <w:b/>
        </w:rPr>
      </w:pPr>
      <w:r>
        <w:rPr>
          <w:b/>
        </w:rPr>
        <w:br w:type="page"/>
      </w:r>
    </w:p>
    <w:p w14:paraId="41954D6C" w14:textId="64CA677F" w:rsidR="00AA0281" w:rsidRPr="007B36E5" w:rsidRDefault="00AA0281" w:rsidP="00AA0281">
      <w:pPr>
        <w:pStyle w:val="ListParagraph"/>
        <w:numPr>
          <w:ilvl w:val="0"/>
          <w:numId w:val="28"/>
        </w:numPr>
        <w:rPr>
          <w:b/>
        </w:rPr>
      </w:pPr>
      <w:r w:rsidRPr="007B36E5">
        <w:rPr>
          <w:b/>
        </w:rPr>
        <w:lastRenderedPageBreak/>
        <w:t>Cilj uspješnosti</w:t>
      </w:r>
    </w:p>
    <w:p w14:paraId="17C804D9" w14:textId="77777777" w:rsidR="00AA0281" w:rsidRPr="005A2A47" w:rsidRDefault="00AA0281" w:rsidP="00AA0281">
      <w:pPr>
        <w:rPr>
          <w:rFonts w:cs="Arial"/>
          <w:b/>
        </w:rPr>
      </w:pPr>
    </w:p>
    <w:tbl>
      <w:tblPr>
        <w:tblW w:w="9258" w:type="dxa"/>
        <w:tblInd w:w="93" w:type="dxa"/>
        <w:tblLook w:val="04A0" w:firstRow="1" w:lastRow="0" w:firstColumn="1" w:lastColumn="0" w:noHBand="0" w:noVBand="1"/>
      </w:tblPr>
      <w:tblGrid>
        <w:gridCol w:w="2860"/>
        <w:gridCol w:w="2380"/>
        <w:gridCol w:w="2146"/>
        <w:gridCol w:w="1872"/>
      </w:tblGrid>
      <w:tr w:rsidR="00AA0281" w:rsidRPr="00C2138A" w14:paraId="2264B5A0" w14:textId="77777777" w:rsidTr="00710311">
        <w:trPr>
          <w:trHeight w:val="54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6F6EBFC9"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398"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6C082C0"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4068D6B5" w14:textId="77777777" w:rsidTr="00710311">
        <w:trPr>
          <w:trHeight w:val="750"/>
        </w:trPr>
        <w:tc>
          <w:tcPr>
            <w:tcW w:w="2860" w:type="dxa"/>
            <w:vMerge/>
            <w:tcBorders>
              <w:top w:val="single" w:sz="4" w:space="0" w:color="auto"/>
              <w:left w:val="single" w:sz="4" w:space="0" w:color="auto"/>
              <w:bottom w:val="single" w:sz="4" w:space="0" w:color="000000"/>
              <w:right w:val="nil"/>
            </w:tcBorders>
            <w:vAlign w:val="center"/>
            <w:hideMark/>
          </w:tcPr>
          <w:p w14:paraId="0C98859B"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524A53EA"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146" w:type="dxa"/>
            <w:tcBorders>
              <w:top w:val="nil"/>
              <w:left w:val="nil"/>
              <w:bottom w:val="single" w:sz="4" w:space="0" w:color="auto"/>
              <w:right w:val="single" w:sz="4" w:space="0" w:color="auto"/>
            </w:tcBorders>
            <w:shd w:val="clear" w:color="000000" w:fill="F2F2F2"/>
            <w:noWrap/>
            <w:vAlign w:val="center"/>
            <w:hideMark/>
          </w:tcPr>
          <w:p w14:paraId="0882123A"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872" w:type="dxa"/>
            <w:tcBorders>
              <w:top w:val="nil"/>
              <w:left w:val="nil"/>
              <w:bottom w:val="single" w:sz="4" w:space="0" w:color="auto"/>
              <w:right w:val="single" w:sz="4" w:space="0" w:color="auto"/>
            </w:tcBorders>
            <w:shd w:val="clear" w:color="000000" w:fill="F2F2F2"/>
            <w:vAlign w:val="center"/>
            <w:hideMark/>
          </w:tcPr>
          <w:p w14:paraId="0101E2DD" w14:textId="4F01EEAC"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 xml:space="preserve"> TROŠAK PROVEDBE MJERE</w:t>
            </w:r>
            <w:r w:rsidR="00710311" w:rsidRPr="000E330E">
              <w:rPr>
                <w:rFonts w:ascii="Arial Narrow" w:hAnsi="Arial Narrow" w:cs="Calibri"/>
                <w:b/>
                <w:bCs/>
                <w:sz w:val="18"/>
                <w:szCs w:val="18"/>
                <w:lang w:eastAsia="hr-HR"/>
              </w:rPr>
              <w:t>-OSIGURANA SREDSTVA U PRORAČUNU IŽ</w:t>
            </w:r>
          </w:p>
        </w:tc>
      </w:tr>
      <w:tr w:rsidR="00AA0281" w:rsidRPr="00C2138A" w14:paraId="4D87EAD8" w14:textId="77777777" w:rsidTr="00710311">
        <w:trPr>
          <w:trHeight w:val="1079"/>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101ADDB"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 xml:space="preserve">2.2.1. Uvođenje i korištenje novih tehnologija u prevenciji, ranom otkrivanju, liječenju i rehabilitaciji </w:t>
            </w:r>
          </w:p>
        </w:tc>
        <w:tc>
          <w:tcPr>
            <w:tcW w:w="2380" w:type="dxa"/>
            <w:tcBorders>
              <w:top w:val="nil"/>
              <w:left w:val="nil"/>
              <w:bottom w:val="single" w:sz="4" w:space="0" w:color="auto"/>
              <w:right w:val="single" w:sz="4" w:space="0" w:color="auto"/>
            </w:tcBorders>
            <w:shd w:val="clear" w:color="auto" w:fill="auto"/>
            <w:vAlign w:val="center"/>
            <w:hideMark/>
          </w:tcPr>
          <w:p w14:paraId="0877702C"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 xml:space="preserve">4204 - Programi iznad standarda ugovorenog s HZZO; </w:t>
            </w:r>
          </w:p>
        </w:tc>
        <w:tc>
          <w:tcPr>
            <w:tcW w:w="2146" w:type="dxa"/>
            <w:tcBorders>
              <w:top w:val="single" w:sz="4" w:space="0" w:color="auto"/>
              <w:left w:val="nil"/>
              <w:bottom w:val="single" w:sz="4" w:space="0" w:color="auto"/>
              <w:right w:val="nil"/>
            </w:tcBorders>
            <w:shd w:val="clear" w:color="auto" w:fill="auto"/>
            <w:vAlign w:val="center"/>
            <w:hideMark/>
          </w:tcPr>
          <w:p w14:paraId="6916F1A4"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A420426 Program HIV; </w:t>
            </w:r>
          </w:p>
        </w:tc>
        <w:tc>
          <w:tcPr>
            <w:tcW w:w="1872" w:type="dxa"/>
            <w:tcBorders>
              <w:top w:val="nil"/>
              <w:left w:val="single" w:sz="4" w:space="0" w:color="auto"/>
              <w:bottom w:val="single" w:sz="4" w:space="0" w:color="auto"/>
              <w:right w:val="single" w:sz="4" w:space="0" w:color="auto"/>
            </w:tcBorders>
            <w:shd w:val="clear" w:color="auto" w:fill="auto"/>
            <w:noWrap/>
            <w:vAlign w:val="center"/>
          </w:tcPr>
          <w:p w14:paraId="3041207B" w14:textId="77777777" w:rsidR="00AA0281" w:rsidRPr="000D2CB2" w:rsidRDefault="00AA0281" w:rsidP="007B5AFD">
            <w:pPr>
              <w:jc w:val="center"/>
              <w:rPr>
                <w:rFonts w:ascii="Arial Narrow" w:hAnsi="Arial Narrow" w:cs="Calibri"/>
                <w:color w:val="FF0000"/>
                <w:sz w:val="20"/>
                <w:szCs w:val="20"/>
                <w:lang w:eastAsia="hr-HR"/>
              </w:rPr>
            </w:pPr>
            <w:r w:rsidRPr="000D2CB2">
              <w:rPr>
                <w:rFonts w:ascii="Arial Narrow" w:hAnsi="Arial Narrow" w:cs="Calibri"/>
                <w:sz w:val="20"/>
                <w:szCs w:val="20"/>
                <w:lang w:eastAsia="hr-HR"/>
              </w:rPr>
              <w:t>13.272,28 EUR</w:t>
            </w:r>
          </w:p>
        </w:tc>
      </w:tr>
    </w:tbl>
    <w:p w14:paraId="72494A57" w14:textId="77777777" w:rsidR="00AA0281" w:rsidRDefault="00AA0281" w:rsidP="00AA0281">
      <w:pPr>
        <w:pStyle w:val="NoSpacing"/>
        <w:jc w:val="both"/>
        <w:rPr>
          <w:rFonts w:ascii="Arial" w:hAnsi="Arial" w:cs="Arial"/>
          <w:color w:val="FF0000"/>
          <w:sz w:val="22"/>
          <w:szCs w:val="22"/>
          <w:u w:val="single"/>
        </w:rPr>
      </w:pPr>
    </w:p>
    <w:p w14:paraId="1E533FC4" w14:textId="77777777" w:rsidR="0089360C" w:rsidRPr="00FD020D" w:rsidRDefault="0089360C" w:rsidP="00AA0281">
      <w:pPr>
        <w:pStyle w:val="NoSpacing"/>
        <w:jc w:val="both"/>
        <w:rPr>
          <w:rFonts w:ascii="Arial" w:hAnsi="Arial" w:cs="Arial"/>
          <w:color w:val="FF0000"/>
          <w:sz w:val="22"/>
          <w:szCs w:val="22"/>
          <w:u w:val="single"/>
        </w:rPr>
      </w:pPr>
    </w:p>
    <w:p w14:paraId="00B5DEB3" w14:textId="77777777" w:rsidR="00AA0281" w:rsidRPr="007B36E5" w:rsidRDefault="00AA0281" w:rsidP="00AA0281">
      <w:pPr>
        <w:pStyle w:val="ListParagraph"/>
        <w:numPr>
          <w:ilvl w:val="0"/>
          <w:numId w:val="29"/>
        </w:numPr>
        <w:rPr>
          <w:b/>
        </w:rPr>
      </w:pPr>
      <w:r w:rsidRPr="007B36E5">
        <w:rPr>
          <w:b/>
        </w:rPr>
        <w:t>Pokazatelji uspješnosti</w:t>
      </w:r>
    </w:p>
    <w:p w14:paraId="5C2D2C80" w14:textId="77777777" w:rsidR="00AA0281" w:rsidRPr="00251356" w:rsidRDefault="00AA0281" w:rsidP="00AA0281">
      <w:pPr>
        <w:rPr>
          <w:b/>
        </w:rPr>
      </w:pPr>
    </w:p>
    <w:tbl>
      <w:tblPr>
        <w:tblW w:w="9258" w:type="dxa"/>
        <w:tblInd w:w="93" w:type="dxa"/>
        <w:tblLook w:val="04A0" w:firstRow="1" w:lastRow="0" w:firstColumn="1" w:lastColumn="0" w:noHBand="0" w:noVBand="1"/>
      </w:tblPr>
      <w:tblGrid>
        <w:gridCol w:w="4864"/>
        <w:gridCol w:w="1275"/>
        <w:gridCol w:w="1134"/>
        <w:gridCol w:w="1985"/>
      </w:tblGrid>
      <w:tr w:rsidR="00AA0281" w:rsidRPr="00C2138A" w14:paraId="5926D374" w14:textId="77777777" w:rsidTr="00710311">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4C112289" w14:textId="77777777" w:rsidR="00AA0281" w:rsidRPr="000E330E" w:rsidRDefault="00AA0281" w:rsidP="007B5AFD">
            <w:pPr>
              <w:rPr>
                <w:rFonts w:ascii="Arial Narrow" w:hAnsi="Arial Narrow" w:cs="Calibri"/>
                <w:b/>
                <w:bCs/>
                <w:color w:val="000000"/>
                <w:sz w:val="18"/>
                <w:szCs w:val="18"/>
                <w:lang w:eastAsia="hr-HR"/>
              </w:rPr>
            </w:pPr>
            <w:bookmarkStart w:id="1" w:name="_Hlk159918569"/>
            <w:r w:rsidRPr="000E330E">
              <w:rPr>
                <w:rFonts w:ascii="Arial Narrow" w:hAnsi="Arial Narrow" w:cs="Calibri"/>
                <w:b/>
                <w:bCs/>
                <w:color w:val="000000"/>
                <w:sz w:val="18"/>
                <w:szCs w:val="18"/>
                <w:lang w:eastAsia="hr-HR"/>
              </w:rPr>
              <w:t>Pokazatelj rezultata</w:t>
            </w:r>
          </w:p>
        </w:tc>
        <w:tc>
          <w:tcPr>
            <w:tcW w:w="127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66C69F"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29DEAE56"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985" w:type="dxa"/>
            <w:tcBorders>
              <w:top w:val="single" w:sz="4" w:space="0" w:color="auto"/>
              <w:left w:val="nil"/>
              <w:bottom w:val="single" w:sz="4" w:space="0" w:color="auto"/>
              <w:right w:val="single" w:sz="4" w:space="0" w:color="auto"/>
            </w:tcBorders>
            <w:shd w:val="clear" w:color="000000" w:fill="F2F2F2"/>
            <w:noWrap/>
            <w:vAlign w:val="center"/>
            <w:hideMark/>
          </w:tcPr>
          <w:p w14:paraId="5ED2D449"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bookmarkEnd w:id="1"/>
      <w:tr w:rsidR="00AA0281" w:rsidRPr="004061CF" w14:paraId="3F8655D1" w14:textId="77777777" w:rsidTr="00710311">
        <w:trPr>
          <w:trHeight w:val="570"/>
        </w:trPr>
        <w:tc>
          <w:tcPr>
            <w:tcW w:w="4864" w:type="dxa"/>
            <w:tcBorders>
              <w:top w:val="nil"/>
              <w:left w:val="single" w:sz="4" w:space="0" w:color="auto"/>
              <w:bottom w:val="single" w:sz="4" w:space="0" w:color="auto"/>
              <w:right w:val="single" w:sz="4" w:space="0" w:color="auto"/>
            </w:tcBorders>
            <w:shd w:val="clear" w:color="auto" w:fill="auto"/>
            <w:noWrap/>
            <w:vAlign w:val="center"/>
          </w:tcPr>
          <w:p w14:paraId="418AE84D" w14:textId="77777777" w:rsidR="00AA0281" w:rsidRPr="000D2CB2" w:rsidRDefault="00AA0281" w:rsidP="007B5AFD">
            <w:pPr>
              <w:rPr>
                <w:rFonts w:ascii="Arial Narrow" w:hAnsi="Arial Narrow" w:cs="Calibri"/>
                <w:bCs/>
                <w:sz w:val="20"/>
                <w:szCs w:val="20"/>
                <w:lang w:eastAsia="hr-HR"/>
              </w:rPr>
            </w:pPr>
            <w:r w:rsidRPr="000D2CB2">
              <w:rPr>
                <w:rFonts w:ascii="Arial Narrow" w:hAnsi="Arial Narrow" w:cs="Calibri"/>
                <w:bCs/>
                <w:sz w:val="20"/>
                <w:szCs w:val="20"/>
                <w:lang w:eastAsia="hr-HR"/>
              </w:rPr>
              <w:t>Broj predtestnih savjetovanja</w:t>
            </w:r>
          </w:p>
        </w:tc>
        <w:tc>
          <w:tcPr>
            <w:tcW w:w="1275" w:type="dxa"/>
            <w:tcBorders>
              <w:top w:val="nil"/>
              <w:left w:val="nil"/>
              <w:bottom w:val="single" w:sz="4" w:space="0" w:color="auto"/>
              <w:right w:val="single" w:sz="4" w:space="0" w:color="auto"/>
            </w:tcBorders>
            <w:shd w:val="clear" w:color="auto" w:fill="auto"/>
            <w:noWrap/>
            <w:vAlign w:val="center"/>
          </w:tcPr>
          <w:p w14:paraId="08FE9FAD"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65</w:t>
            </w:r>
          </w:p>
        </w:tc>
        <w:tc>
          <w:tcPr>
            <w:tcW w:w="1134" w:type="dxa"/>
            <w:tcBorders>
              <w:top w:val="nil"/>
              <w:left w:val="nil"/>
              <w:bottom w:val="single" w:sz="4" w:space="0" w:color="auto"/>
              <w:right w:val="single" w:sz="4" w:space="0" w:color="auto"/>
            </w:tcBorders>
            <w:shd w:val="clear" w:color="auto" w:fill="auto"/>
            <w:noWrap/>
            <w:vAlign w:val="center"/>
          </w:tcPr>
          <w:p w14:paraId="2B407130"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80</w:t>
            </w:r>
          </w:p>
        </w:tc>
        <w:tc>
          <w:tcPr>
            <w:tcW w:w="1985" w:type="dxa"/>
            <w:tcBorders>
              <w:top w:val="nil"/>
              <w:left w:val="nil"/>
              <w:bottom w:val="single" w:sz="4" w:space="0" w:color="auto"/>
              <w:right w:val="single" w:sz="4" w:space="0" w:color="auto"/>
            </w:tcBorders>
            <w:shd w:val="clear" w:color="auto" w:fill="auto"/>
            <w:noWrap/>
            <w:vAlign w:val="center"/>
          </w:tcPr>
          <w:p w14:paraId="624300E6"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98</w:t>
            </w:r>
          </w:p>
        </w:tc>
      </w:tr>
    </w:tbl>
    <w:p w14:paraId="3E52C25A" w14:textId="77777777" w:rsidR="00F15D9E" w:rsidRDefault="00F15D9E" w:rsidP="00AA0281">
      <w:pPr>
        <w:rPr>
          <w:b/>
          <w:u w:val="single"/>
        </w:rPr>
      </w:pPr>
    </w:p>
    <w:p w14:paraId="7DF76DB8" w14:textId="77777777" w:rsidR="00AA0281" w:rsidRPr="007B36E5" w:rsidRDefault="00AA0281" w:rsidP="00AA0281">
      <w:pPr>
        <w:rPr>
          <w:b/>
        </w:rPr>
      </w:pPr>
      <w:r w:rsidRPr="007B36E5">
        <w:rPr>
          <w:b/>
        </w:rPr>
        <w:t>Izvještaj o postignutim ciljevima i rezultatima programa temeljenim na pokazateljima uspješnosti:</w:t>
      </w:r>
    </w:p>
    <w:p w14:paraId="1839368A" w14:textId="77777777" w:rsidR="00AA0281" w:rsidRPr="007B36E5" w:rsidRDefault="00AA0281" w:rsidP="00AA0281">
      <w:pPr>
        <w:jc w:val="both"/>
        <w:rPr>
          <w:lang w:eastAsia="hr-HR"/>
        </w:rPr>
      </w:pPr>
      <w:r w:rsidRPr="007B36E5">
        <w:rPr>
          <w:lang w:eastAsia="hi-IN"/>
        </w:rPr>
        <w:t xml:space="preserve">U 2023.g. </w:t>
      </w:r>
      <w:r w:rsidRPr="007B36E5">
        <w:rPr>
          <w:lang w:eastAsia="hr-HR"/>
        </w:rPr>
        <w:t>u Centru za anonimno i besplatno savjetovanje i testiranje obavljeno je 98  testiranja na HIV, 96 na hepatitis B, 96 testiranja na hepatitis C i 97 na sifilis. Obavljeno je 98 predtestnih i 80 posttestnih savjetovanja. Kod jedne (1) osobe je test bio pozitivan na HIV, a kod šest (6) osoba reaktivan na sifilis. Tijekom predtestnog savjetovanja korisnici Centra su upoznati s izvorima zaraze, putovima prijenosa i prevencijom HIV-a, Hepatitisa B i C i sifilisa, te mogućnostima liječenja. Nakon obavljenog posttestnog savjetovanja korisnike se još jednom podsjetilo na rizična</w:t>
      </w:r>
      <w:r w:rsidRPr="007F40C6">
        <w:rPr>
          <w:rFonts w:ascii="Arial" w:hAnsi="Arial" w:cs="Arial"/>
          <w:lang w:eastAsia="hr-HR"/>
        </w:rPr>
        <w:t xml:space="preserve"> ponašanja koja bi mogla dovesti do infekcije HIV-om s posebnim </w:t>
      </w:r>
      <w:r w:rsidRPr="007B36E5">
        <w:rPr>
          <w:lang w:eastAsia="hr-HR"/>
        </w:rPr>
        <w:t>naglaskom na promociju pozitivnih stavova i stilova života,  promjenu rizičnih ponašanja  i odgovorno seksualno ponašanje.</w:t>
      </w:r>
    </w:p>
    <w:p w14:paraId="65EE0800" w14:textId="77777777" w:rsidR="00AA0281" w:rsidRDefault="00AA0281" w:rsidP="00AA0281">
      <w:pPr>
        <w:rPr>
          <w:b/>
          <w:u w:val="single"/>
        </w:rPr>
      </w:pPr>
    </w:p>
    <w:p w14:paraId="14A319B0" w14:textId="77777777" w:rsidR="000157DD" w:rsidRDefault="000157DD" w:rsidP="00AA0281">
      <w:pPr>
        <w:rPr>
          <w:b/>
          <w:u w:val="single"/>
        </w:rPr>
      </w:pPr>
    </w:p>
    <w:p w14:paraId="7AC2081C" w14:textId="77777777" w:rsidR="0089360C" w:rsidRPr="007B36E5" w:rsidRDefault="0089360C" w:rsidP="00AA0281">
      <w:pPr>
        <w:rPr>
          <w:b/>
          <w:u w:val="single"/>
        </w:rPr>
      </w:pPr>
    </w:p>
    <w:p w14:paraId="77B5C6DB" w14:textId="77777777" w:rsidR="00AA0281" w:rsidRPr="007B36E5" w:rsidRDefault="00AA0281" w:rsidP="00AA0281">
      <w:pPr>
        <w:pStyle w:val="ListParagraph"/>
        <w:numPr>
          <w:ilvl w:val="0"/>
          <w:numId w:val="27"/>
        </w:numPr>
        <w:rPr>
          <w:b/>
          <w:color w:val="000000"/>
        </w:rPr>
      </w:pPr>
      <w:bookmarkStart w:id="2" w:name="_Hlk160530850"/>
      <w:r w:rsidRPr="007B36E5">
        <w:rPr>
          <w:b/>
          <w:szCs w:val="18"/>
        </w:rPr>
        <w:t xml:space="preserve">PROGRAM: PROGRAM </w:t>
      </w:r>
      <w:r w:rsidRPr="007B36E5">
        <w:rPr>
          <w:b/>
          <w:color w:val="000000"/>
        </w:rPr>
        <w:t xml:space="preserve"> MJERA ZA OSIGURANJE POTREBNIH LJUDSKIH RESURSA</w:t>
      </w:r>
    </w:p>
    <w:p w14:paraId="139ABE1E" w14:textId="77777777" w:rsidR="00AA0281" w:rsidRPr="007B36E5" w:rsidRDefault="00AA0281" w:rsidP="00AA0281">
      <w:pPr>
        <w:rPr>
          <w:b/>
          <w:color w:val="000000"/>
        </w:rPr>
      </w:pPr>
    </w:p>
    <w:p w14:paraId="327C306F" w14:textId="77777777" w:rsidR="00AA0281" w:rsidRPr="007B36E5" w:rsidRDefault="00AA0281" w:rsidP="00AA0281">
      <w:pPr>
        <w:pStyle w:val="ListParagraph"/>
        <w:numPr>
          <w:ilvl w:val="1"/>
          <w:numId w:val="27"/>
        </w:numPr>
        <w:rPr>
          <w:rFonts w:eastAsia="BatangChe"/>
          <w:b/>
          <w:color w:val="000000"/>
        </w:rPr>
      </w:pPr>
      <w:r w:rsidRPr="007B36E5">
        <w:rPr>
          <w:rFonts w:eastAsia="BatangChe"/>
          <w:b/>
          <w:color w:val="000000"/>
        </w:rPr>
        <w:t>AKTIVNOST:</w:t>
      </w:r>
      <w:r w:rsidRPr="007B36E5">
        <w:rPr>
          <w:rFonts w:eastAsia="BatangChe"/>
          <w:b/>
          <w:bCs/>
          <w:color w:val="000000"/>
        </w:rPr>
        <w:t xml:space="preserve"> </w:t>
      </w:r>
      <w:r w:rsidRPr="007B36E5">
        <w:rPr>
          <w:rFonts w:eastAsia="BatangChe"/>
          <w:b/>
          <w:color w:val="000000"/>
        </w:rPr>
        <w:t>Stambeno zbrinjavanje po beneficiranim uvjetima</w:t>
      </w:r>
    </w:p>
    <w:p w14:paraId="0A595409" w14:textId="77777777" w:rsidR="000157DD" w:rsidRPr="007B36E5" w:rsidRDefault="000157DD" w:rsidP="00AA0281">
      <w:pPr>
        <w:rPr>
          <w:b/>
          <w:u w:val="single"/>
        </w:rPr>
      </w:pPr>
    </w:p>
    <w:p w14:paraId="7573D7D6" w14:textId="77777777" w:rsidR="00AA0281" w:rsidRPr="007B36E5" w:rsidRDefault="00AA0281" w:rsidP="00AA0281">
      <w:pPr>
        <w:pStyle w:val="NoSpacing"/>
        <w:numPr>
          <w:ilvl w:val="0"/>
          <w:numId w:val="38"/>
        </w:numPr>
        <w:jc w:val="both"/>
        <w:rPr>
          <w:b/>
          <w:bCs/>
          <w:sz w:val="22"/>
          <w:szCs w:val="22"/>
        </w:rPr>
      </w:pPr>
      <w:r w:rsidRPr="007B36E5">
        <w:rPr>
          <w:b/>
          <w:color w:val="000000"/>
          <w:sz w:val="22"/>
          <w:szCs w:val="22"/>
        </w:rPr>
        <w:t>Obrazloženje:</w:t>
      </w:r>
      <w:r w:rsidRPr="007B36E5">
        <w:rPr>
          <w:sz w:val="22"/>
        </w:rPr>
        <w:t xml:space="preserve"> Zbog nedostatka zdravstvenih radnika na tržištu rada te u cilju zadržavanja potrebnih kadrova i kvalitete zdravstvene zaštite, kroz sufinanciranje stanarine motivira se liječnika specijalista psihijatra za nastavak rada u Nastavnom zavodu i ostanak u Istarskoj županiji.</w:t>
      </w:r>
    </w:p>
    <w:p w14:paraId="0AB0B19E" w14:textId="77777777" w:rsidR="00AA0281" w:rsidRDefault="00AA0281" w:rsidP="00AA0281">
      <w:pPr>
        <w:pStyle w:val="NoSpacing"/>
        <w:ind w:left="360"/>
        <w:jc w:val="both"/>
        <w:rPr>
          <w:b/>
          <w:bCs/>
          <w:sz w:val="22"/>
          <w:szCs w:val="22"/>
        </w:rPr>
      </w:pPr>
    </w:p>
    <w:p w14:paraId="01C570BB" w14:textId="77777777" w:rsidR="000157DD" w:rsidRDefault="000157DD" w:rsidP="00AA0281">
      <w:pPr>
        <w:pStyle w:val="NoSpacing"/>
        <w:ind w:left="360"/>
        <w:jc w:val="both"/>
        <w:rPr>
          <w:b/>
          <w:bCs/>
          <w:sz w:val="22"/>
          <w:szCs w:val="22"/>
        </w:rPr>
      </w:pPr>
    </w:p>
    <w:p w14:paraId="3DC4BF4A" w14:textId="77777777" w:rsidR="000157DD" w:rsidRDefault="000157DD" w:rsidP="00AA0281">
      <w:pPr>
        <w:pStyle w:val="NoSpacing"/>
        <w:ind w:left="360"/>
        <w:jc w:val="both"/>
        <w:rPr>
          <w:b/>
          <w:bCs/>
          <w:sz w:val="22"/>
          <w:szCs w:val="22"/>
        </w:rPr>
      </w:pPr>
    </w:p>
    <w:p w14:paraId="44141991" w14:textId="77777777" w:rsidR="000157DD" w:rsidRDefault="000157DD" w:rsidP="00AA0281">
      <w:pPr>
        <w:pStyle w:val="NoSpacing"/>
        <w:ind w:left="360"/>
        <w:jc w:val="both"/>
        <w:rPr>
          <w:b/>
          <w:bCs/>
          <w:sz w:val="22"/>
          <w:szCs w:val="22"/>
        </w:rPr>
      </w:pPr>
    </w:p>
    <w:p w14:paraId="08B44C56" w14:textId="77777777" w:rsidR="000157DD" w:rsidRDefault="000157DD" w:rsidP="00AA0281">
      <w:pPr>
        <w:pStyle w:val="NoSpacing"/>
        <w:ind w:left="360"/>
        <w:jc w:val="both"/>
        <w:rPr>
          <w:b/>
          <w:bCs/>
          <w:sz w:val="22"/>
          <w:szCs w:val="22"/>
        </w:rPr>
      </w:pPr>
    </w:p>
    <w:p w14:paraId="678B75AF" w14:textId="77777777" w:rsidR="000157DD" w:rsidRDefault="000157DD" w:rsidP="00AA0281">
      <w:pPr>
        <w:pStyle w:val="NoSpacing"/>
        <w:ind w:left="360"/>
        <w:jc w:val="both"/>
        <w:rPr>
          <w:b/>
          <w:bCs/>
          <w:sz w:val="22"/>
          <w:szCs w:val="22"/>
        </w:rPr>
      </w:pPr>
    </w:p>
    <w:p w14:paraId="54172020" w14:textId="77777777" w:rsidR="000157DD" w:rsidRDefault="000157DD" w:rsidP="00AA0281">
      <w:pPr>
        <w:pStyle w:val="NoSpacing"/>
        <w:ind w:left="360"/>
        <w:jc w:val="both"/>
        <w:rPr>
          <w:b/>
          <w:bCs/>
          <w:sz w:val="22"/>
          <w:szCs w:val="22"/>
        </w:rPr>
      </w:pPr>
    </w:p>
    <w:p w14:paraId="07D93764" w14:textId="77777777" w:rsidR="000157DD" w:rsidRDefault="000157DD" w:rsidP="00AA0281">
      <w:pPr>
        <w:pStyle w:val="NoSpacing"/>
        <w:ind w:left="360"/>
        <w:jc w:val="both"/>
        <w:rPr>
          <w:b/>
          <w:bCs/>
          <w:sz w:val="22"/>
          <w:szCs w:val="22"/>
        </w:rPr>
      </w:pPr>
    </w:p>
    <w:p w14:paraId="5B009EB8" w14:textId="5CF0E697" w:rsidR="000157DD" w:rsidRPr="000157DD" w:rsidRDefault="00AA0281" w:rsidP="000157DD">
      <w:pPr>
        <w:pStyle w:val="NoSpacing"/>
        <w:numPr>
          <w:ilvl w:val="0"/>
          <w:numId w:val="38"/>
        </w:numPr>
        <w:jc w:val="both"/>
        <w:rPr>
          <w:b/>
          <w:bCs/>
          <w:sz w:val="22"/>
          <w:szCs w:val="22"/>
        </w:rPr>
      </w:pPr>
      <w:r w:rsidRPr="007B36E5">
        <w:rPr>
          <w:b/>
        </w:rPr>
        <w:lastRenderedPageBreak/>
        <w:t>Cilj uspješnosti</w:t>
      </w:r>
    </w:p>
    <w:p w14:paraId="43E7DDBA" w14:textId="77777777" w:rsidR="00AA0281" w:rsidRDefault="00AA0281" w:rsidP="00AA0281">
      <w:pPr>
        <w:pStyle w:val="NoSpacing"/>
        <w:jc w:val="both"/>
        <w:rPr>
          <w:rFonts w:ascii="Arial" w:hAnsi="Arial" w:cs="Arial"/>
          <w:b/>
          <w:bCs/>
          <w:sz w:val="22"/>
          <w:szCs w:val="22"/>
        </w:rPr>
      </w:pPr>
    </w:p>
    <w:tbl>
      <w:tblPr>
        <w:tblW w:w="9116" w:type="dxa"/>
        <w:tblInd w:w="93" w:type="dxa"/>
        <w:tblLook w:val="04A0" w:firstRow="1" w:lastRow="0" w:firstColumn="1" w:lastColumn="0" w:noHBand="0" w:noVBand="1"/>
      </w:tblPr>
      <w:tblGrid>
        <w:gridCol w:w="2851"/>
        <w:gridCol w:w="2373"/>
        <w:gridCol w:w="2373"/>
        <w:gridCol w:w="1519"/>
      </w:tblGrid>
      <w:tr w:rsidR="00AA0281" w:rsidRPr="00C2138A" w14:paraId="176672C7" w14:textId="77777777" w:rsidTr="00710311">
        <w:trPr>
          <w:trHeight w:val="300"/>
        </w:trPr>
        <w:tc>
          <w:tcPr>
            <w:tcW w:w="2851"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3132112C"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65"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8C98E56"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1A58D8E0" w14:textId="77777777" w:rsidTr="00710311">
        <w:trPr>
          <w:trHeight w:val="480"/>
        </w:trPr>
        <w:tc>
          <w:tcPr>
            <w:tcW w:w="2851" w:type="dxa"/>
            <w:vMerge/>
            <w:tcBorders>
              <w:top w:val="single" w:sz="4" w:space="0" w:color="auto"/>
              <w:left w:val="single" w:sz="4" w:space="0" w:color="auto"/>
              <w:bottom w:val="single" w:sz="4" w:space="0" w:color="auto"/>
              <w:right w:val="nil"/>
            </w:tcBorders>
            <w:vAlign w:val="center"/>
            <w:hideMark/>
          </w:tcPr>
          <w:p w14:paraId="504E0798" w14:textId="77777777" w:rsidR="00AA0281" w:rsidRPr="000E330E" w:rsidRDefault="00AA0281" w:rsidP="007B5AFD">
            <w:pPr>
              <w:rPr>
                <w:rFonts w:ascii="Arial Narrow" w:hAnsi="Arial Narrow" w:cs="Calibri"/>
                <w:b/>
                <w:bCs/>
                <w:color w:val="000000"/>
                <w:sz w:val="18"/>
                <w:szCs w:val="18"/>
                <w:lang w:eastAsia="hr-HR"/>
              </w:rPr>
            </w:pPr>
          </w:p>
        </w:tc>
        <w:tc>
          <w:tcPr>
            <w:tcW w:w="23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86411C"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73" w:type="dxa"/>
            <w:tcBorders>
              <w:top w:val="single" w:sz="4" w:space="0" w:color="auto"/>
              <w:left w:val="nil"/>
              <w:bottom w:val="single" w:sz="4" w:space="0" w:color="auto"/>
              <w:right w:val="single" w:sz="4" w:space="0" w:color="auto"/>
            </w:tcBorders>
            <w:shd w:val="clear" w:color="000000" w:fill="F2F2F2"/>
            <w:noWrap/>
            <w:vAlign w:val="center"/>
            <w:hideMark/>
          </w:tcPr>
          <w:p w14:paraId="257CC8C8"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519" w:type="dxa"/>
            <w:tcBorders>
              <w:top w:val="single" w:sz="4" w:space="0" w:color="auto"/>
              <w:left w:val="nil"/>
              <w:bottom w:val="single" w:sz="4" w:space="0" w:color="auto"/>
              <w:right w:val="single" w:sz="4" w:space="0" w:color="auto"/>
            </w:tcBorders>
            <w:shd w:val="clear" w:color="000000" w:fill="F2F2F2"/>
            <w:vAlign w:val="center"/>
            <w:hideMark/>
          </w:tcPr>
          <w:p w14:paraId="3F2F72EE" w14:textId="322C10E6"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710311" w:rsidRPr="000E330E">
              <w:rPr>
                <w:rFonts w:ascii="Arial Narrow" w:hAnsi="Arial Narrow" w:cs="Calibri"/>
                <w:b/>
                <w:bCs/>
                <w:sz w:val="18"/>
                <w:szCs w:val="18"/>
                <w:lang w:eastAsia="hr-HR"/>
              </w:rPr>
              <w:t>-OSIGURANA SREDSTVA U PRORAČUNU IŽ</w:t>
            </w:r>
          </w:p>
        </w:tc>
      </w:tr>
      <w:tr w:rsidR="00AA0281" w:rsidRPr="008270B2" w14:paraId="33C85F0C" w14:textId="77777777" w:rsidTr="00710311">
        <w:trPr>
          <w:trHeight w:val="480"/>
        </w:trPr>
        <w:tc>
          <w:tcPr>
            <w:tcW w:w="2851" w:type="dxa"/>
            <w:tcBorders>
              <w:top w:val="single" w:sz="4" w:space="0" w:color="auto"/>
              <w:left w:val="single" w:sz="4" w:space="0" w:color="auto"/>
              <w:bottom w:val="single" w:sz="4" w:space="0" w:color="000000"/>
              <w:right w:val="nil"/>
            </w:tcBorders>
            <w:vAlign w:val="center"/>
          </w:tcPr>
          <w:p w14:paraId="5D84B6A1"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2.2.2. Jačanje ljudskih kapaciteta u zdravstvu</w:t>
            </w:r>
          </w:p>
        </w:tc>
        <w:tc>
          <w:tcPr>
            <w:tcW w:w="23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F339A" w14:textId="77777777" w:rsidR="00AA0281" w:rsidRPr="008270B2" w:rsidRDefault="00AA0281" w:rsidP="007B5AFD">
            <w:pPr>
              <w:rPr>
                <w:rFonts w:ascii="Arial Narrow" w:hAnsi="Arial Narrow" w:cs="Calibri"/>
                <w:b/>
                <w:bCs/>
                <w:color w:val="000000"/>
                <w:sz w:val="20"/>
                <w:szCs w:val="20"/>
                <w:lang w:eastAsia="hr-HR"/>
              </w:rPr>
            </w:pPr>
            <w:r w:rsidRPr="008270B2">
              <w:rPr>
                <w:rFonts w:ascii="Arial Narrow" w:hAnsi="Arial Narrow" w:cs="Calibri"/>
                <w:bCs/>
                <w:color w:val="000000"/>
                <w:sz w:val="20"/>
                <w:szCs w:val="20"/>
                <w:lang w:eastAsia="hr-HR"/>
              </w:rPr>
              <w:t>4215 - P</w:t>
            </w:r>
            <w:r w:rsidRPr="008270B2">
              <w:rPr>
                <w:rFonts w:ascii="Arial Narrow" w:hAnsi="Arial Narrow" w:cs="Calibri"/>
                <w:color w:val="000000"/>
                <w:sz w:val="20"/>
                <w:szCs w:val="20"/>
                <w:lang w:eastAsia="hr-HR"/>
              </w:rPr>
              <w:t>rogram mjera za osiguranje potrebnih ljudskih resursa</w:t>
            </w:r>
          </w:p>
        </w:tc>
        <w:tc>
          <w:tcPr>
            <w:tcW w:w="2373" w:type="dxa"/>
            <w:tcBorders>
              <w:top w:val="single" w:sz="4" w:space="0" w:color="auto"/>
              <w:left w:val="nil"/>
              <w:bottom w:val="single" w:sz="4" w:space="0" w:color="auto"/>
              <w:right w:val="single" w:sz="4" w:space="0" w:color="auto"/>
            </w:tcBorders>
            <w:shd w:val="clear" w:color="auto" w:fill="auto"/>
            <w:noWrap/>
            <w:vAlign w:val="center"/>
          </w:tcPr>
          <w:p w14:paraId="2A4B711D" w14:textId="77777777" w:rsidR="00AA0281" w:rsidRPr="008270B2" w:rsidRDefault="00AA0281" w:rsidP="007B5AFD">
            <w:pPr>
              <w:jc w:val="center"/>
              <w:rPr>
                <w:rFonts w:ascii="Arial Narrow" w:hAnsi="Arial Narrow" w:cs="Calibri"/>
                <w:color w:val="000000"/>
                <w:sz w:val="20"/>
                <w:szCs w:val="20"/>
                <w:lang w:eastAsia="hr-HR"/>
              </w:rPr>
            </w:pPr>
            <w:r w:rsidRPr="008270B2">
              <w:rPr>
                <w:rFonts w:ascii="Arial Narrow" w:hAnsi="Arial Narrow" w:cs="Calibri"/>
                <w:color w:val="000000"/>
                <w:sz w:val="20"/>
                <w:szCs w:val="20"/>
                <w:lang w:eastAsia="hr-HR"/>
              </w:rPr>
              <w:t>A421502 Stambeno zbrinjavanje po beneficiranim uvjetima;</w:t>
            </w:r>
          </w:p>
        </w:tc>
        <w:tc>
          <w:tcPr>
            <w:tcW w:w="1519" w:type="dxa"/>
            <w:tcBorders>
              <w:top w:val="single" w:sz="4" w:space="0" w:color="auto"/>
              <w:left w:val="nil"/>
              <w:bottom w:val="single" w:sz="4" w:space="0" w:color="auto"/>
              <w:right w:val="single" w:sz="4" w:space="0" w:color="auto"/>
            </w:tcBorders>
            <w:shd w:val="clear" w:color="auto" w:fill="auto"/>
            <w:vAlign w:val="center"/>
          </w:tcPr>
          <w:p w14:paraId="2B3F3B08" w14:textId="77777777" w:rsidR="00AA0281" w:rsidRPr="008270B2" w:rsidRDefault="00AA0281" w:rsidP="007B5AFD">
            <w:pPr>
              <w:jc w:val="center"/>
              <w:rPr>
                <w:rFonts w:ascii="Arial Narrow" w:hAnsi="Arial Narrow" w:cs="Calibri"/>
                <w:sz w:val="20"/>
                <w:szCs w:val="20"/>
                <w:lang w:eastAsia="hr-HR"/>
              </w:rPr>
            </w:pPr>
            <w:r w:rsidRPr="008270B2">
              <w:rPr>
                <w:rFonts w:ascii="Arial Narrow" w:hAnsi="Arial Narrow" w:cs="Calibri"/>
                <w:sz w:val="20"/>
                <w:szCs w:val="20"/>
                <w:lang w:eastAsia="hr-HR"/>
              </w:rPr>
              <w:t>1.000,00 EUR</w:t>
            </w:r>
          </w:p>
        </w:tc>
      </w:tr>
    </w:tbl>
    <w:p w14:paraId="28F33198" w14:textId="77777777" w:rsidR="00AA0281" w:rsidRPr="000E252B" w:rsidRDefault="00AA0281" w:rsidP="00AA0281">
      <w:pPr>
        <w:pStyle w:val="NoSpacing"/>
        <w:ind w:left="360"/>
        <w:jc w:val="both"/>
        <w:rPr>
          <w:rFonts w:ascii="Arial" w:hAnsi="Arial" w:cs="Arial"/>
          <w:b/>
          <w:bCs/>
          <w:sz w:val="22"/>
          <w:szCs w:val="22"/>
        </w:rPr>
      </w:pPr>
    </w:p>
    <w:p w14:paraId="14C24CB8" w14:textId="77777777" w:rsidR="00AA0281" w:rsidRPr="00BA1B22" w:rsidRDefault="00AA0281" w:rsidP="00AA0281">
      <w:pPr>
        <w:pStyle w:val="NoSpacing"/>
        <w:numPr>
          <w:ilvl w:val="0"/>
          <w:numId w:val="39"/>
        </w:numPr>
        <w:jc w:val="both"/>
        <w:rPr>
          <w:b/>
          <w:bCs/>
          <w:sz w:val="22"/>
          <w:szCs w:val="22"/>
        </w:rPr>
      </w:pPr>
      <w:r w:rsidRPr="007B36E5">
        <w:rPr>
          <w:b/>
        </w:rPr>
        <w:t>Pokazatelj rezultata</w:t>
      </w:r>
    </w:p>
    <w:p w14:paraId="30649559" w14:textId="77777777" w:rsidR="00BA1B22" w:rsidRPr="007B36E5" w:rsidRDefault="00BA1B22" w:rsidP="00BA1B22">
      <w:pPr>
        <w:pStyle w:val="NoSpacing"/>
        <w:ind w:left="720"/>
        <w:jc w:val="both"/>
        <w:rPr>
          <w:b/>
          <w:bCs/>
          <w:sz w:val="22"/>
          <w:szCs w:val="22"/>
        </w:rPr>
      </w:pPr>
    </w:p>
    <w:tbl>
      <w:tblPr>
        <w:tblW w:w="8833" w:type="dxa"/>
        <w:tblInd w:w="93" w:type="dxa"/>
        <w:tblLook w:val="04A0" w:firstRow="1" w:lastRow="0" w:firstColumn="1" w:lastColumn="0" w:noHBand="0" w:noVBand="1"/>
      </w:tblPr>
      <w:tblGrid>
        <w:gridCol w:w="5251"/>
        <w:gridCol w:w="1085"/>
        <w:gridCol w:w="1079"/>
        <w:gridCol w:w="1418"/>
      </w:tblGrid>
      <w:tr w:rsidR="00AA0281" w:rsidRPr="00C2138A" w14:paraId="5AF4F30D" w14:textId="77777777" w:rsidTr="007B5AFD">
        <w:trPr>
          <w:trHeight w:val="480"/>
        </w:trPr>
        <w:tc>
          <w:tcPr>
            <w:tcW w:w="5251" w:type="dxa"/>
            <w:tcBorders>
              <w:top w:val="single" w:sz="4" w:space="0" w:color="auto"/>
              <w:left w:val="single" w:sz="4" w:space="0" w:color="auto"/>
              <w:bottom w:val="single" w:sz="4" w:space="0" w:color="auto"/>
              <w:right w:val="nil"/>
            </w:tcBorders>
            <w:shd w:val="clear" w:color="000000" w:fill="F2F2F2"/>
            <w:vAlign w:val="center"/>
            <w:hideMark/>
          </w:tcPr>
          <w:p w14:paraId="6588F84E"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0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AAAFA9"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7921D2BD"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14:paraId="219E8F87"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C2138A" w14:paraId="2600098A" w14:textId="77777777" w:rsidTr="007B5AFD">
        <w:trPr>
          <w:trHeight w:val="480"/>
        </w:trPr>
        <w:tc>
          <w:tcPr>
            <w:tcW w:w="5251" w:type="dxa"/>
            <w:tcBorders>
              <w:top w:val="single" w:sz="4" w:space="0" w:color="auto"/>
              <w:left w:val="single" w:sz="4" w:space="0" w:color="auto"/>
              <w:bottom w:val="single" w:sz="4" w:space="0" w:color="auto"/>
              <w:right w:val="nil"/>
            </w:tcBorders>
            <w:shd w:val="clear" w:color="auto" w:fill="auto"/>
            <w:vAlign w:val="center"/>
          </w:tcPr>
          <w:p w14:paraId="021D1EBB" w14:textId="77777777" w:rsidR="00AA0281" w:rsidRPr="000D2CB2" w:rsidRDefault="00AA0281" w:rsidP="007B5AFD">
            <w:pPr>
              <w:rPr>
                <w:rFonts w:ascii="Arial Narrow" w:hAnsi="Arial Narrow" w:cs="Calibri"/>
                <w:color w:val="FF0000"/>
                <w:sz w:val="20"/>
                <w:szCs w:val="20"/>
                <w:lang w:eastAsia="hr-HR"/>
              </w:rPr>
            </w:pPr>
            <w:r w:rsidRPr="000D2CB2">
              <w:rPr>
                <w:rFonts w:ascii="Arial Narrow" w:hAnsi="Arial Narrow" w:cs="Calibri"/>
                <w:bCs/>
                <w:sz w:val="20"/>
                <w:szCs w:val="20"/>
                <w:lang w:eastAsia="hr-HR"/>
              </w:rPr>
              <w:t>Broj zdravstvenih radnika koji koriste mjeru stambenog zbrinjavanja po beneficiranim uvjetima</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23099B7" w14:textId="77777777" w:rsidR="00AA0281" w:rsidRPr="000D2CB2" w:rsidRDefault="00AA0281" w:rsidP="007B5AFD">
            <w:pPr>
              <w:jc w:val="cente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0D85DAA7" w14:textId="77777777" w:rsidR="00AA0281" w:rsidRPr="000D2CB2" w:rsidRDefault="00AA0281" w:rsidP="007B5AFD">
            <w:pPr>
              <w:jc w:val="cente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321E2A0" w14:textId="77777777" w:rsidR="00AA0281" w:rsidRPr="000D2CB2" w:rsidRDefault="00AA0281" w:rsidP="007B5AFD">
            <w:pPr>
              <w:jc w:val="center"/>
              <w:rPr>
                <w:rFonts w:ascii="Arial Narrow" w:hAnsi="Arial Narrow" w:cs="Calibri"/>
                <w:sz w:val="20"/>
                <w:szCs w:val="20"/>
                <w:lang w:eastAsia="hr-HR"/>
              </w:rPr>
            </w:pPr>
            <w:r w:rsidRPr="000D2CB2">
              <w:rPr>
                <w:rFonts w:ascii="Arial Narrow" w:hAnsi="Arial Narrow" w:cs="Calibri"/>
                <w:sz w:val="20"/>
                <w:szCs w:val="20"/>
                <w:lang w:eastAsia="hr-HR"/>
              </w:rPr>
              <w:t>1</w:t>
            </w:r>
          </w:p>
        </w:tc>
      </w:tr>
    </w:tbl>
    <w:p w14:paraId="01F6F693" w14:textId="77777777" w:rsidR="00AA0281" w:rsidRPr="007B36E5" w:rsidRDefault="00AA0281" w:rsidP="00AA0281">
      <w:pPr>
        <w:rPr>
          <w:b/>
        </w:rPr>
      </w:pPr>
      <w:r w:rsidRPr="007B36E5">
        <w:rPr>
          <w:b/>
        </w:rPr>
        <w:t>Izvještaj o postignutim ciljevima i rezultatima programa temeljenim na pokazateljima uspješnosti:</w:t>
      </w:r>
    </w:p>
    <w:bookmarkEnd w:id="2"/>
    <w:p w14:paraId="7A5E240A" w14:textId="77777777" w:rsidR="00AA0281" w:rsidRDefault="00AA0281" w:rsidP="00AA0281">
      <w:pPr>
        <w:pStyle w:val="NoSpacing"/>
        <w:jc w:val="both"/>
        <w:rPr>
          <w:szCs w:val="24"/>
        </w:rPr>
      </w:pPr>
      <w:r w:rsidRPr="007B36E5">
        <w:rPr>
          <w:szCs w:val="24"/>
        </w:rPr>
        <w:t>Sufinanciranje stanarine rezultiralo je ostankom specijalista psihijatrije u Ustanovi, ispunjena je norma HZZO-a (tim) te je osigurana dugoročna dostupnost usluge psihijatrijskog liječenja ovisnicima, konzumentima i osobama s poteškoćama mentalnog zdravlja s područja Istarske županije.</w:t>
      </w:r>
    </w:p>
    <w:p w14:paraId="240F5968" w14:textId="77777777" w:rsidR="00F15D9E" w:rsidRDefault="00F15D9E" w:rsidP="00AA0281">
      <w:pPr>
        <w:pStyle w:val="NoSpacing"/>
        <w:jc w:val="both"/>
        <w:rPr>
          <w:szCs w:val="24"/>
        </w:rPr>
      </w:pPr>
    </w:p>
    <w:p w14:paraId="00BE0613" w14:textId="77777777" w:rsidR="0089360C" w:rsidRPr="007B36E5" w:rsidRDefault="0089360C" w:rsidP="00AA0281">
      <w:pPr>
        <w:pStyle w:val="NoSpacing"/>
        <w:jc w:val="both"/>
        <w:rPr>
          <w:szCs w:val="24"/>
        </w:rPr>
      </w:pPr>
    </w:p>
    <w:p w14:paraId="05EEEB40" w14:textId="77777777" w:rsidR="00AA0281" w:rsidRPr="007B36E5" w:rsidRDefault="00AA0281" w:rsidP="00AA0281">
      <w:pPr>
        <w:pStyle w:val="ListParagraph"/>
        <w:numPr>
          <w:ilvl w:val="0"/>
          <w:numId w:val="27"/>
        </w:numPr>
        <w:rPr>
          <w:b/>
        </w:rPr>
      </w:pPr>
      <w:r w:rsidRPr="007B36E5">
        <w:rPr>
          <w:b/>
        </w:rPr>
        <w:t>PROGRAM: MJERE ZDRAVSTVENE EKOLOGIJE</w:t>
      </w:r>
    </w:p>
    <w:p w14:paraId="21D77BCE" w14:textId="77777777" w:rsidR="00AA0281" w:rsidRPr="007B36E5" w:rsidRDefault="00AA0281" w:rsidP="00AA0281"/>
    <w:p w14:paraId="62B5589D" w14:textId="77777777" w:rsidR="00AA0281" w:rsidRPr="007B36E5" w:rsidRDefault="00AA0281" w:rsidP="00AA0281">
      <w:pPr>
        <w:pStyle w:val="ListParagraph"/>
        <w:numPr>
          <w:ilvl w:val="1"/>
          <w:numId w:val="27"/>
        </w:numPr>
        <w:tabs>
          <w:tab w:val="left" w:pos="708"/>
        </w:tabs>
        <w:rPr>
          <w:b/>
          <w:bCs/>
        </w:rPr>
      </w:pPr>
      <w:r w:rsidRPr="007B36E5">
        <w:rPr>
          <w:b/>
          <w:bCs/>
        </w:rPr>
        <w:t xml:space="preserve">AKTIVNOST: Monitoring vode za ljudsku potrošnju </w:t>
      </w:r>
    </w:p>
    <w:p w14:paraId="62156383" w14:textId="77777777" w:rsidR="00AA0281" w:rsidRPr="007B36E5" w:rsidRDefault="00AA0281" w:rsidP="00AA0281">
      <w:pPr>
        <w:tabs>
          <w:tab w:val="left" w:pos="708"/>
        </w:tabs>
      </w:pPr>
    </w:p>
    <w:p w14:paraId="699788AE" w14:textId="77777777" w:rsidR="00AA0281" w:rsidRPr="007B36E5" w:rsidRDefault="00AA0281" w:rsidP="00AA0281">
      <w:pPr>
        <w:pStyle w:val="ListParagraph"/>
        <w:numPr>
          <w:ilvl w:val="0"/>
          <w:numId w:val="29"/>
        </w:numPr>
        <w:tabs>
          <w:tab w:val="left" w:pos="708"/>
        </w:tabs>
        <w:jc w:val="both"/>
      </w:pPr>
      <w:r w:rsidRPr="007B36E5">
        <w:rPr>
          <w:b/>
          <w:color w:val="000000"/>
        </w:rPr>
        <w:t xml:space="preserve">Obrazloženje: </w:t>
      </w:r>
      <w:r w:rsidRPr="007B36E5">
        <w:t>Na osnovu Zakona o vodi za ljudsku potrošnju (NN 56/13, NN 64/15, NN 104/17, NN 115/18, NN 16/20) i Pravilnika o parametrima sukladnosti i metodama analize vode za ljudsku potrošnju (NN 125/17, NN 39/20) kojima se propisuju parametri, vrste, opseg i učestalost analize uzoraka vode za ljudsku potrošnju za provedbu redovitog i revizijskog monitoringa, ministar donosi godišnji Plan monitoringa. Članak 44. stavak 1. Zakona o vodi za ljudsku potrošnju propisuje da Županija osigurava financijska</w:t>
      </w:r>
      <w:r w:rsidRPr="00952434">
        <w:rPr>
          <w:rFonts w:ascii="Arial" w:hAnsi="Arial" w:cs="Arial"/>
        </w:rPr>
        <w:t xml:space="preserve"> </w:t>
      </w:r>
      <w:r w:rsidRPr="007B36E5">
        <w:t xml:space="preserve">sredstva za provođenje redovitog i revizijskog praćenja parametara propisanih Pravilnikom. </w:t>
      </w:r>
    </w:p>
    <w:p w14:paraId="75637138" w14:textId="77777777" w:rsidR="00AA0281" w:rsidRPr="007B36E5" w:rsidRDefault="00AA0281" w:rsidP="00AA0281">
      <w:pPr>
        <w:jc w:val="both"/>
        <w:rPr>
          <w:b/>
        </w:rPr>
      </w:pPr>
    </w:p>
    <w:p w14:paraId="02FB74C6" w14:textId="77777777" w:rsidR="00AA0281" w:rsidRDefault="00AA0281" w:rsidP="00AA0281">
      <w:pPr>
        <w:pStyle w:val="ListParagraph"/>
        <w:numPr>
          <w:ilvl w:val="0"/>
          <w:numId w:val="29"/>
        </w:numPr>
        <w:rPr>
          <w:b/>
        </w:rPr>
      </w:pPr>
      <w:r w:rsidRPr="007B36E5">
        <w:rPr>
          <w:b/>
        </w:rPr>
        <w:t>Cilj uspješnosti</w:t>
      </w:r>
    </w:p>
    <w:p w14:paraId="0DE3D6E0" w14:textId="77777777" w:rsidR="00BA1B22" w:rsidRPr="007B36E5" w:rsidRDefault="00BA1B22" w:rsidP="00BA1B22">
      <w:pPr>
        <w:pStyle w:val="ListParagraph"/>
        <w:ind w:left="643"/>
        <w:rPr>
          <w:b/>
        </w:rPr>
      </w:pPr>
    </w:p>
    <w:tbl>
      <w:tblPr>
        <w:tblW w:w="9116" w:type="dxa"/>
        <w:tblInd w:w="93" w:type="dxa"/>
        <w:tblLook w:val="04A0" w:firstRow="1" w:lastRow="0" w:firstColumn="1" w:lastColumn="0" w:noHBand="0" w:noVBand="1"/>
      </w:tblPr>
      <w:tblGrid>
        <w:gridCol w:w="2860"/>
        <w:gridCol w:w="2380"/>
        <w:gridCol w:w="2380"/>
        <w:gridCol w:w="1496"/>
      </w:tblGrid>
      <w:tr w:rsidR="00AA0281" w:rsidRPr="00C2138A" w14:paraId="67C4EA93" w14:textId="77777777" w:rsidTr="0089360C">
        <w:trPr>
          <w:trHeight w:val="338"/>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668E36D4"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8DA3F8D"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48889DEE" w14:textId="77777777" w:rsidTr="00710311">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0867E80A"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153D8AEC"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7507378E"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30EB28CA" w14:textId="5C650588"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710311" w:rsidRPr="000E330E">
              <w:rPr>
                <w:rFonts w:ascii="Arial Narrow" w:hAnsi="Arial Narrow" w:cs="Calibri"/>
                <w:b/>
                <w:bCs/>
                <w:sz w:val="18"/>
                <w:szCs w:val="18"/>
                <w:lang w:eastAsia="hr-HR"/>
              </w:rPr>
              <w:t>-OSIGURANA SREDSTVA U PRORAČUNU IŽ</w:t>
            </w:r>
          </w:p>
        </w:tc>
      </w:tr>
      <w:tr w:rsidR="00AA0281" w:rsidRPr="00C2138A" w14:paraId="6EE2385F" w14:textId="77777777" w:rsidTr="00710311">
        <w:trPr>
          <w:trHeight w:val="1026"/>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3C1F976A"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2300A330"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 xml:space="preserve">4207 – Mjere zdravstvene ekologije </w:t>
            </w:r>
          </w:p>
        </w:tc>
        <w:tc>
          <w:tcPr>
            <w:tcW w:w="2380" w:type="dxa"/>
            <w:tcBorders>
              <w:top w:val="single" w:sz="4" w:space="0" w:color="auto"/>
              <w:left w:val="nil"/>
              <w:bottom w:val="single" w:sz="4" w:space="0" w:color="auto"/>
              <w:right w:val="nil"/>
            </w:tcBorders>
            <w:shd w:val="clear" w:color="auto" w:fill="auto"/>
            <w:vAlign w:val="center"/>
            <w:hideMark/>
          </w:tcPr>
          <w:p w14:paraId="6A812E91"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A420702 Monitoring vode za piće</w:t>
            </w:r>
          </w:p>
        </w:tc>
        <w:tc>
          <w:tcPr>
            <w:tcW w:w="1496" w:type="dxa"/>
            <w:tcBorders>
              <w:top w:val="nil"/>
              <w:left w:val="single" w:sz="4" w:space="0" w:color="auto"/>
              <w:bottom w:val="single" w:sz="4" w:space="0" w:color="auto"/>
              <w:right w:val="single" w:sz="4" w:space="0" w:color="auto"/>
            </w:tcBorders>
            <w:shd w:val="clear" w:color="auto" w:fill="auto"/>
            <w:noWrap/>
            <w:vAlign w:val="center"/>
          </w:tcPr>
          <w:p w14:paraId="78E47179" w14:textId="77777777" w:rsidR="00AA0281" w:rsidRPr="000D2CB2" w:rsidRDefault="00AA0281" w:rsidP="007B5AFD">
            <w:pPr>
              <w:jc w:val="center"/>
              <w:rPr>
                <w:rFonts w:ascii="Arial Narrow" w:hAnsi="Arial Narrow" w:cs="Calibri"/>
                <w:color w:val="FF0000"/>
                <w:sz w:val="20"/>
                <w:szCs w:val="20"/>
                <w:lang w:eastAsia="hr-HR"/>
              </w:rPr>
            </w:pPr>
            <w:r w:rsidRPr="000D2CB2">
              <w:rPr>
                <w:rFonts w:ascii="Arial Narrow" w:hAnsi="Arial Narrow" w:cs="Calibri"/>
                <w:sz w:val="20"/>
                <w:szCs w:val="20"/>
                <w:lang w:eastAsia="hr-HR"/>
              </w:rPr>
              <w:t>134.315,00 EUR</w:t>
            </w:r>
          </w:p>
        </w:tc>
      </w:tr>
    </w:tbl>
    <w:p w14:paraId="5E38486F" w14:textId="708CD195" w:rsidR="00AA0281" w:rsidRPr="007B36E5" w:rsidRDefault="00AA0281" w:rsidP="00AA0281">
      <w:pPr>
        <w:pStyle w:val="ListParagraph"/>
        <w:numPr>
          <w:ilvl w:val="0"/>
          <w:numId w:val="30"/>
        </w:numPr>
        <w:rPr>
          <w:b/>
        </w:rPr>
      </w:pPr>
      <w:r w:rsidRPr="007B36E5">
        <w:rPr>
          <w:b/>
        </w:rPr>
        <w:lastRenderedPageBreak/>
        <w:t>Pokazatelji uspješnosti</w:t>
      </w:r>
    </w:p>
    <w:p w14:paraId="303FB360" w14:textId="77777777" w:rsidR="00AA0281" w:rsidRPr="004B7E6C" w:rsidRDefault="00AA0281" w:rsidP="00AA0281">
      <w:pPr>
        <w:rPr>
          <w:rFonts w:cs="Arial"/>
          <w:b/>
        </w:rPr>
      </w:pPr>
    </w:p>
    <w:tbl>
      <w:tblPr>
        <w:tblW w:w="8974" w:type="dxa"/>
        <w:tblInd w:w="93" w:type="dxa"/>
        <w:tblLook w:val="04A0" w:firstRow="1" w:lastRow="0" w:firstColumn="1" w:lastColumn="0" w:noHBand="0" w:noVBand="1"/>
      </w:tblPr>
      <w:tblGrid>
        <w:gridCol w:w="5147"/>
        <w:gridCol w:w="1134"/>
        <w:gridCol w:w="1079"/>
        <w:gridCol w:w="1614"/>
      </w:tblGrid>
      <w:tr w:rsidR="00AA0281" w:rsidRPr="00C2138A" w14:paraId="6C7BB5C3" w14:textId="77777777" w:rsidTr="007B5AFD">
        <w:trPr>
          <w:trHeight w:val="480"/>
        </w:trPr>
        <w:tc>
          <w:tcPr>
            <w:tcW w:w="5147" w:type="dxa"/>
            <w:tcBorders>
              <w:top w:val="single" w:sz="4" w:space="0" w:color="auto"/>
              <w:left w:val="single" w:sz="4" w:space="0" w:color="auto"/>
              <w:bottom w:val="single" w:sz="4" w:space="0" w:color="000000"/>
              <w:right w:val="nil"/>
            </w:tcBorders>
            <w:shd w:val="clear" w:color="000000" w:fill="F2F2F2"/>
            <w:vAlign w:val="center"/>
            <w:hideMark/>
          </w:tcPr>
          <w:p w14:paraId="16D136AE"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134"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732B6BA7"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63CDD995"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614" w:type="dxa"/>
            <w:tcBorders>
              <w:top w:val="single" w:sz="4" w:space="0" w:color="auto"/>
              <w:left w:val="nil"/>
              <w:bottom w:val="single" w:sz="4" w:space="0" w:color="auto"/>
              <w:right w:val="single" w:sz="4" w:space="0" w:color="auto"/>
            </w:tcBorders>
            <w:shd w:val="clear" w:color="000000" w:fill="F2F2F2"/>
            <w:noWrap/>
            <w:vAlign w:val="center"/>
            <w:hideMark/>
          </w:tcPr>
          <w:p w14:paraId="6B2102F7"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Ostvarena vrijednost u periodu 01-12/2023</w:t>
            </w:r>
          </w:p>
        </w:tc>
      </w:tr>
      <w:tr w:rsidR="00AA0281" w:rsidRPr="00267DF4" w14:paraId="2FDBD168" w14:textId="77777777" w:rsidTr="007B5AFD">
        <w:trPr>
          <w:trHeight w:val="570"/>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14:paraId="60F8F9BE" w14:textId="77777777" w:rsidR="00AA0281" w:rsidRPr="000D2CB2" w:rsidRDefault="00AA0281" w:rsidP="007B5AFD">
            <w:pPr>
              <w:rPr>
                <w:rFonts w:ascii="Arial Narrow" w:hAnsi="Arial Narrow" w:cs="Calibri"/>
                <w:b/>
                <w:bCs/>
                <w:sz w:val="20"/>
                <w:szCs w:val="20"/>
                <w:lang w:eastAsia="hr-HR"/>
              </w:rPr>
            </w:pPr>
            <w:r w:rsidRPr="000D2CB2">
              <w:rPr>
                <w:rFonts w:ascii="Arial Narrow" w:hAnsi="Arial Narrow" w:cs="Calibri"/>
                <w:bCs/>
                <w:sz w:val="20"/>
                <w:szCs w:val="20"/>
                <w:lang w:eastAsia="hr-HR"/>
              </w:rPr>
              <w:t>Broj uzorkovanja vode za ljudsku potrošnju</w:t>
            </w:r>
            <w:r w:rsidRPr="000D2CB2">
              <w:rPr>
                <w:rFonts w:ascii="Arial Narrow" w:hAnsi="Arial Narrow" w:cs="Calibri"/>
                <w:b/>
                <w:bCs/>
                <w:sz w:val="20"/>
                <w:szCs w:val="20"/>
                <w:lang w:eastAsia="hr-HR"/>
              </w:rPr>
              <w:t> </w:t>
            </w:r>
          </w:p>
        </w:tc>
        <w:tc>
          <w:tcPr>
            <w:tcW w:w="1134" w:type="dxa"/>
            <w:tcBorders>
              <w:top w:val="nil"/>
              <w:left w:val="nil"/>
              <w:bottom w:val="single" w:sz="4" w:space="0" w:color="auto"/>
              <w:right w:val="single" w:sz="4" w:space="0" w:color="auto"/>
            </w:tcBorders>
            <w:shd w:val="clear" w:color="auto" w:fill="auto"/>
            <w:noWrap/>
            <w:vAlign w:val="center"/>
          </w:tcPr>
          <w:p w14:paraId="4A91CA43"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606</w:t>
            </w:r>
          </w:p>
        </w:tc>
        <w:tc>
          <w:tcPr>
            <w:tcW w:w="1079" w:type="dxa"/>
            <w:tcBorders>
              <w:top w:val="nil"/>
              <w:left w:val="nil"/>
              <w:bottom w:val="single" w:sz="4" w:space="0" w:color="auto"/>
              <w:right w:val="single" w:sz="4" w:space="0" w:color="auto"/>
            </w:tcBorders>
            <w:shd w:val="clear" w:color="auto" w:fill="auto"/>
            <w:noWrap/>
            <w:vAlign w:val="center"/>
          </w:tcPr>
          <w:p w14:paraId="560936D1"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816</w:t>
            </w:r>
          </w:p>
        </w:tc>
        <w:tc>
          <w:tcPr>
            <w:tcW w:w="1614" w:type="dxa"/>
            <w:tcBorders>
              <w:top w:val="nil"/>
              <w:left w:val="nil"/>
              <w:bottom w:val="single" w:sz="4" w:space="0" w:color="auto"/>
              <w:right w:val="single" w:sz="4" w:space="0" w:color="auto"/>
            </w:tcBorders>
            <w:shd w:val="clear" w:color="auto" w:fill="auto"/>
            <w:noWrap/>
            <w:vAlign w:val="center"/>
          </w:tcPr>
          <w:p w14:paraId="3A88DEE5"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815</w:t>
            </w:r>
          </w:p>
        </w:tc>
      </w:tr>
    </w:tbl>
    <w:p w14:paraId="1EFD50EF" w14:textId="77777777" w:rsidR="00AA0281" w:rsidRDefault="00AA0281" w:rsidP="00AA0281">
      <w:pPr>
        <w:tabs>
          <w:tab w:val="left" w:pos="708"/>
        </w:tabs>
        <w:rPr>
          <w:rFonts w:cs="Arial"/>
        </w:rPr>
      </w:pPr>
    </w:p>
    <w:p w14:paraId="7716A59B" w14:textId="77777777" w:rsidR="00AA0281" w:rsidRPr="007B36E5" w:rsidRDefault="00AA0281" w:rsidP="00AA0281">
      <w:pPr>
        <w:rPr>
          <w:b/>
        </w:rPr>
      </w:pPr>
      <w:r w:rsidRPr="007B36E5">
        <w:rPr>
          <w:b/>
        </w:rPr>
        <w:t>Izvještaj o postignutim ciljevima i rezultatima programa temeljenim na pokazateljima uspješnosti:</w:t>
      </w:r>
    </w:p>
    <w:p w14:paraId="3ADC21C5" w14:textId="77777777" w:rsidR="00AA0281" w:rsidRPr="007B36E5" w:rsidRDefault="00AA0281" w:rsidP="00AA0281">
      <w:pPr>
        <w:tabs>
          <w:tab w:val="left" w:pos="993"/>
          <w:tab w:val="center" w:pos="1843"/>
          <w:tab w:val="center" w:pos="6804"/>
          <w:tab w:val="right" w:pos="8647"/>
        </w:tabs>
        <w:jc w:val="both"/>
      </w:pPr>
      <w:r w:rsidRPr="007B36E5">
        <w:t>Uzorkovano je i analizirano 815 uzoraka vode za ljudsku potrošnju isporučitelja: Vodovoda Pula, Istarskog vodovoda Buzet i Vodovoda Labin. 735 uzoraka analizirano je na obvezne parametre a 80 uzoraka na parametre revizijskog monitoringa. Kod revizijskog monitoringa uzet je 1 uzorak manje u kolovozu, na lokaciji Tar (Osnovna škola Tar Vabriga), radi nemogućnosti ulaska u objekt. Svi uzorci ispunjavali su ispitane pokazatelje.</w:t>
      </w:r>
    </w:p>
    <w:p w14:paraId="2A086327" w14:textId="77777777" w:rsidR="00AA0281" w:rsidRPr="007B36E5" w:rsidRDefault="00AA0281" w:rsidP="00AA0281">
      <w:pPr>
        <w:tabs>
          <w:tab w:val="left" w:pos="993"/>
          <w:tab w:val="center" w:pos="1843"/>
          <w:tab w:val="center" w:pos="6804"/>
          <w:tab w:val="right" w:pos="8647"/>
        </w:tabs>
        <w:jc w:val="both"/>
        <w:rPr>
          <w:color w:val="FF0000"/>
        </w:rPr>
      </w:pPr>
    </w:p>
    <w:p w14:paraId="40F71CB1" w14:textId="77777777" w:rsidR="00AA0281" w:rsidRPr="007B36E5" w:rsidRDefault="00AA0281" w:rsidP="00AA0281">
      <w:pPr>
        <w:tabs>
          <w:tab w:val="left" w:pos="993"/>
          <w:tab w:val="center" w:pos="1843"/>
          <w:tab w:val="center" w:pos="6804"/>
          <w:tab w:val="right" w:pos="8647"/>
        </w:tabs>
        <w:jc w:val="both"/>
        <w:rPr>
          <w:color w:val="FF0000"/>
        </w:rPr>
      </w:pPr>
    </w:p>
    <w:p w14:paraId="63147BE1" w14:textId="77777777" w:rsidR="00AA0281" w:rsidRPr="007B36E5" w:rsidRDefault="00AA0281" w:rsidP="00AA0281">
      <w:pPr>
        <w:pStyle w:val="ListParagraph"/>
        <w:numPr>
          <w:ilvl w:val="1"/>
          <w:numId w:val="27"/>
        </w:numPr>
        <w:tabs>
          <w:tab w:val="left" w:pos="708"/>
        </w:tabs>
        <w:rPr>
          <w:b/>
          <w:bCs/>
        </w:rPr>
      </w:pPr>
      <w:r w:rsidRPr="007B36E5">
        <w:rPr>
          <w:b/>
          <w:bCs/>
        </w:rPr>
        <w:t xml:space="preserve">AKTIVNOST: Program praćenja kakvoće sirovih voda izvorišta i bunara </w:t>
      </w:r>
    </w:p>
    <w:p w14:paraId="159966DE" w14:textId="77777777" w:rsidR="00AA0281" w:rsidRPr="007B36E5" w:rsidRDefault="00AA0281" w:rsidP="00AA0281">
      <w:pPr>
        <w:tabs>
          <w:tab w:val="left" w:pos="708"/>
        </w:tabs>
      </w:pPr>
    </w:p>
    <w:p w14:paraId="390C1C4E" w14:textId="77777777" w:rsidR="00AA0281" w:rsidRPr="007B36E5" w:rsidRDefault="00AA0281" w:rsidP="00AA0281">
      <w:pPr>
        <w:pStyle w:val="ListParagraph"/>
        <w:numPr>
          <w:ilvl w:val="0"/>
          <w:numId w:val="30"/>
        </w:numPr>
        <w:tabs>
          <w:tab w:val="left" w:pos="708"/>
        </w:tabs>
        <w:jc w:val="both"/>
      </w:pPr>
      <w:r w:rsidRPr="007B36E5">
        <w:rPr>
          <w:b/>
          <w:color w:val="000000"/>
        </w:rPr>
        <w:t xml:space="preserve">Obrazloženje: </w:t>
      </w:r>
      <w:r w:rsidRPr="007B36E5">
        <w:t xml:space="preserve">Program se provodi na osnovi Zakona o vodama (NN  66/19), Uredbi o standardu kakvoće voda (NN 96/19), Zakonu o vodi za ljudsku potrošnju (NN 56/13, NN 64/15, NN 104/17, NN 115/18, NN 16/20 ) i Pravilnika o parametrima sukladnosti i metodama analize vode za ljudsku potrošnju (NN 125/17, NN 39/20), a prate se prirodni resursi voda, koji se koriste za potrebe vodoopskrbe. </w:t>
      </w:r>
    </w:p>
    <w:p w14:paraId="20A6A505" w14:textId="77777777" w:rsidR="00AA0281" w:rsidRPr="007B36E5" w:rsidRDefault="00AA0281" w:rsidP="00AA0281">
      <w:pPr>
        <w:rPr>
          <w:b/>
        </w:rPr>
      </w:pPr>
    </w:p>
    <w:p w14:paraId="34156BA3" w14:textId="77777777" w:rsidR="00AA0281" w:rsidRPr="007B36E5" w:rsidRDefault="00AA0281" w:rsidP="00AA0281">
      <w:pPr>
        <w:pStyle w:val="ListParagraph"/>
        <w:numPr>
          <w:ilvl w:val="0"/>
          <w:numId w:val="29"/>
        </w:numPr>
        <w:rPr>
          <w:b/>
        </w:rPr>
      </w:pPr>
      <w:r w:rsidRPr="007B36E5">
        <w:rPr>
          <w:b/>
        </w:rPr>
        <w:t>Cilj uspješnosti</w:t>
      </w:r>
    </w:p>
    <w:p w14:paraId="34CF163F" w14:textId="77777777" w:rsidR="00AA0281" w:rsidRPr="0079622E" w:rsidRDefault="00AA0281" w:rsidP="00AA0281">
      <w:pPr>
        <w:rPr>
          <w:rFonts w:cs="Arial"/>
          <w:b/>
        </w:rPr>
      </w:pPr>
    </w:p>
    <w:tbl>
      <w:tblPr>
        <w:tblW w:w="9116" w:type="dxa"/>
        <w:tblInd w:w="93" w:type="dxa"/>
        <w:tblLook w:val="04A0" w:firstRow="1" w:lastRow="0" w:firstColumn="1" w:lastColumn="0" w:noHBand="0" w:noVBand="1"/>
      </w:tblPr>
      <w:tblGrid>
        <w:gridCol w:w="2860"/>
        <w:gridCol w:w="2380"/>
        <w:gridCol w:w="2380"/>
        <w:gridCol w:w="1496"/>
      </w:tblGrid>
      <w:tr w:rsidR="00AA0281" w:rsidRPr="00C2138A" w14:paraId="0197CF18" w14:textId="77777777" w:rsidTr="00114FE7">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0795340D"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1FA7CF1"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544707FF" w14:textId="77777777" w:rsidTr="00114FE7">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37F07F46"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204F69B5"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2196FDDA"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38955768" w14:textId="1B0D0F73"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14FE7" w:rsidRPr="000E330E">
              <w:rPr>
                <w:rFonts w:ascii="Arial Narrow" w:hAnsi="Arial Narrow" w:cs="Calibri"/>
                <w:b/>
                <w:bCs/>
                <w:sz w:val="18"/>
                <w:szCs w:val="18"/>
                <w:lang w:eastAsia="hr-HR"/>
              </w:rPr>
              <w:t>-OSIGURANA SREDSTVA U PRORAČUNU IŽ</w:t>
            </w:r>
          </w:p>
        </w:tc>
      </w:tr>
      <w:tr w:rsidR="00AA0281" w:rsidRPr="00C2138A" w14:paraId="4004687B" w14:textId="77777777" w:rsidTr="00114FE7">
        <w:trPr>
          <w:trHeight w:val="274"/>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40AABF6"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6873CC8A"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3D7AB19C"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A420704 Program praćenja kakvoće sirovih voda izvorišta i bunara; </w:t>
            </w:r>
          </w:p>
        </w:tc>
        <w:tc>
          <w:tcPr>
            <w:tcW w:w="1496" w:type="dxa"/>
            <w:tcBorders>
              <w:top w:val="nil"/>
              <w:left w:val="single" w:sz="4" w:space="0" w:color="auto"/>
              <w:bottom w:val="single" w:sz="4" w:space="0" w:color="auto"/>
              <w:right w:val="single" w:sz="4" w:space="0" w:color="auto"/>
            </w:tcBorders>
            <w:shd w:val="clear" w:color="auto" w:fill="auto"/>
            <w:noWrap/>
            <w:vAlign w:val="center"/>
          </w:tcPr>
          <w:p w14:paraId="26FC8198" w14:textId="77777777" w:rsidR="00AA0281" w:rsidRPr="000D2CB2" w:rsidRDefault="00AA0281" w:rsidP="007B5AFD">
            <w:pPr>
              <w:jc w:val="center"/>
              <w:rPr>
                <w:rFonts w:ascii="Arial Narrow" w:hAnsi="Arial Narrow" w:cs="Calibri"/>
                <w:color w:val="FF0000"/>
                <w:sz w:val="20"/>
                <w:szCs w:val="20"/>
                <w:lang w:eastAsia="hr-HR"/>
              </w:rPr>
            </w:pPr>
            <w:r w:rsidRPr="000D2CB2">
              <w:rPr>
                <w:rFonts w:ascii="Arial Narrow" w:hAnsi="Arial Narrow" w:cs="Calibri"/>
                <w:sz w:val="20"/>
                <w:szCs w:val="20"/>
                <w:lang w:eastAsia="hr-HR"/>
              </w:rPr>
              <w:t>67.689,00 EUR</w:t>
            </w:r>
          </w:p>
        </w:tc>
      </w:tr>
    </w:tbl>
    <w:p w14:paraId="52E2E563" w14:textId="77777777" w:rsidR="00523E00" w:rsidRDefault="00523E00" w:rsidP="00523E00">
      <w:pPr>
        <w:pStyle w:val="ListParagraph"/>
        <w:ind w:left="360"/>
        <w:rPr>
          <w:b/>
        </w:rPr>
      </w:pPr>
    </w:p>
    <w:p w14:paraId="33667924" w14:textId="2B5ABBC9" w:rsidR="00AA0281" w:rsidRPr="007B36E5" w:rsidRDefault="00AA0281" w:rsidP="00AA0281">
      <w:pPr>
        <w:pStyle w:val="ListParagraph"/>
        <w:numPr>
          <w:ilvl w:val="0"/>
          <w:numId w:val="28"/>
        </w:numPr>
        <w:rPr>
          <w:b/>
        </w:rPr>
      </w:pPr>
      <w:r w:rsidRPr="007B36E5">
        <w:rPr>
          <w:b/>
        </w:rPr>
        <w:t>Pokazatelji uspješnosti</w:t>
      </w:r>
    </w:p>
    <w:p w14:paraId="7D422F7E" w14:textId="77777777" w:rsidR="00AA0281" w:rsidRPr="007050B2" w:rsidRDefault="00AA0281" w:rsidP="00AA0281">
      <w:pPr>
        <w:rPr>
          <w:rFonts w:cs="Arial"/>
          <w:b/>
        </w:rPr>
      </w:pPr>
    </w:p>
    <w:tbl>
      <w:tblPr>
        <w:tblW w:w="8833" w:type="dxa"/>
        <w:tblInd w:w="93" w:type="dxa"/>
        <w:tblLook w:val="04A0" w:firstRow="1" w:lastRow="0" w:firstColumn="1" w:lastColumn="0" w:noHBand="0" w:noVBand="1"/>
      </w:tblPr>
      <w:tblGrid>
        <w:gridCol w:w="4013"/>
        <w:gridCol w:w="1559"/>
        <w:gridCol w:w="1134"/>
        <w:gridCol w:w="2127"/>
      </w:tblGrid>
      <w:tr w:rsidR="00AA0281" w:rsidRPr="00C2138A" w14:paraId="2884C80D" w14:textId="77777777" w:rsidTr="007B5AFD">
        <w:trPr>
          <w:trHeight w:val="480"/>
        </w:trPr>
        <w:tc>
          <w:tcPr>
            <w:tcW w:w="4013" w:type="dxa"/>
            <w:tcBorders>
              <w:top w:val="single" w:sz="4" w:space="0" w:color="auto"/>
              <w:left w:val="single" w:sz="4" w:space="0" w:color="auto"/>
              <w:bottom w:val="single" w:sz="4" w:space="0" w:color="auto"/>
              <w:right w:val="nil"/>
            </w:tcBorders>
            <w:shd w:val="clear" w:color="000000" w:fill="F2F2F2"/>
            <w:vAlign w:val="center"/>
            <w:hideMark/>
          </w:tcPr>
          <w:p w14:paraId="6F24F7AC"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3E67E9"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0D253B2D"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2127" w:type="dxa"/>
            <w:tcBorders>
              <w:top w:val="single" w:sz="4" w:space="0" w:color="auto"/>
              <w:left w:val="nil"/>
              <w:bottom w:val="single" w:sz="4" w:space="0" w:color="auto"/>
              <w:right w:val="single" w:sz="4" w:space="0" w:color="auto"/>
            </w:tcBorders>
            <w:shd w:val="clear" w:color="000000" w:fill="F2F2F2"/>
            <w:noWrap/>
            <w:vAlign w:val="center"/>
            <w:hideMark/>
          </w:tcPr>
          <w:p w14:paraId="685BE59E"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267DF4" w14:paraId="3A4676BD" w14:textId="77777777" w:rsidTr="007B5AFD">
        <w:trPr>
          <w:trHeight w:val="570"/>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08FB528C" w14:textId="77777777" w:rsidR="00AA0281" w:rsidRPr="000D2CB2" w:rsidRDefault="00AA0281" w:rsidP="007B5AFD">
            <w:pPr>
              <w:rPr>
                <w:rFonts w:ascii="Arial Narrow" w:hAnsi="Arial Narrow" w:cs="Calibri"/>
                <w:b/>
                <w:bCs/>
                <w:sz w:val="20"/>
                <w:szCs w:val="20"/>
                <w:lang w:eastAsia="hr-HR"/>
              </w:rPr>
            </w:pPr>
            <w:r w:rsidRPr="000D2CB2">
              <w:rPr>
                <w:rFonts w:ascii="Arial Narrow" w:hAnsi="Arial Narrow" w:cs="Calibri"/>
                <w:bCs/>
                <w:sz w:val="20"/>
                <w:szCs w:val="20"/>
                <w:lang w:eastAsia="hr-HR"/>
              </w:rPr>
              <w:t>Broj uzorkovanja sirovih voda izvorišta i bunara</w:t>
            </w:r>
          </w:p>
        </w:tc>
        <w:tc>
          <w:tcPr>
            <w:tcW w:w="1559" w:type="dxa"/>
            <w:tcBorders>
              <w:top w:val="nil"/>
              <w:left w:val="nil"/>
              <w:bottom w:val="single" w:sz="4" w:space="0" w:color="auto"/>
              <w:right w:val="single" w:sz="4" w:space="0" w:color="auto"/>
            </w:tcBorders>
            <w:shd w:val="clear" w:color="auto" w:fill="auto"/>
            <w:noWrap/>
            <w:vAlign w:val="center"/>
          </w:tcPr>
          <w:p w14:paraId="2C9A84B3"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126</w:t>
            </w:r>
          </w:p>
        </w:tc>
        <w:tc>
          <w:tcPr>
            <w:tcW w:w="1134" w:type="dxa"/>
            <w:tcBorders>
              <w:top w:val="nil"/>
              <w:left w:val="nil"/>
              <w:bottom w:val="single" w:sz="4" w:space="0" w:color="auto"/>
              <w:right w:val="single" w:sz="4" w:space="0" w:color="auto"/>
            </w:tcBorders>
            <w:shd w:val="clear" w:color="auto" w:fill="auto"/>
            <w:noWrap/>
            <w:vAlign w:val="center"/>
          </w:tcPr>
          <w:p w14:paraId="3EE19793"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164</w:t>
            </w:r>
          </w:p>
        </w:tc>
        <w:tc>
          <w:tcPr>
            <w:tcW w:w="2127" w:type="dxa"/>
            <w:tcBorders>
              <w:top w:val="nil"/>
              <w:left w:val="nil"/>
              <w:bottom w:val="single" w:sz="4" w:space="0" w:color="auto"/>
              <w:right w:val="single" w:sz="4" w:space="0" w:color="auto"/>
            </w:tcBorders>
            <w:shd w:val="clear" w:color="auto" w:fill="auto"/>
            <w:noWrap/>
            <w:vAlign w:val="center"/>
          </w:tcPr>
          <w:p w14:paraId="6F80C65B" w14:textId="77777777" w:rsidR="00AA0281" w:rsidRPr="000D2CB2" w:rsidRDefault="00AA0281" w:rsidP="007B5AFD">
            <w:pPr>
              <w:jc w:val="center"/>
              <w:rPr>
                <w:rFonts w:ascii="Arial Narrow" w:hAnsi="Arial Narrow" w:cs="Calibri"/>
                <w:bCs/>
                <w:color w:val="FF0000"/>
                <w:sz w:val="20"/>
                <w:szCs w:val="20"/>
                <w:lang w:eastAsia="hr-HR"/>
              </w:rPr>
            </w:pPr>
            <w:r w:rsidRPr="000D2CB2">
              <w:rPr>
                <w:rFonts w:ascii="Arial Narrow" w:hAnsi="Arial Narrow" w:cs="Calibri"/>
                <w:bCs/>
                <w:sz w:val="20"/>
                <w:szCs w:val="20"/>
                <w:lang w:eastAsia="hr-HR"/>
              </w:rPr>
              <w:t>151</w:t>
            </w:r>
          </w:p>
        </w:tc>
      </w:tr>
    </w:tbl>
    <w:p w14:paraId="3C45F6DE" w14:textId="77777777" w:rsidR="00AA0281" w:rsidRDefault="00AA0281" w:rsidP="00AA0281">
      <w:pPr>
        <w:rPr>
          <w:rFonts w:ascii="Arial" w:hAnsi="Arial"/>
          <w:b/>
        </w:rPr>
      </w:pPr>
    </w:p>
    <w:p w14:paraId="631C840E" w14:textId="77777777" w:rsidR="00AA0281" w:rsidRPr="007B36E5" w:rsidRDefault="00AA0281" w:rsidP="00AA0281">
      <w:pPr>
        <w:rPr>
          <w:b/>
        </w:rPr>
      </w:pPr>
      <w:r w:rsidRPr="007B36E5">
        <w:rPr>
          <w:b/>
        </w:rPr>
        <w:t>Izvještaj o postignutim ciljevima i rezultatima programa temeljenim na pokazateljima uspješnosti:</w:t>
      </w:r>
    </w:p>
    <w:p w14:paraId="5802EC05" w14:textId="77777777" w:rsidR="00AA0281" w:rsidRPr="007B36E5" w:rsidRDefault="00AA0281" w:rsidP="00AA0281">
      <w:pPr>
        <w:tabs>
          <w:tab w:val="left" w:pos="993"/>
          <w:tab w:val="center" w:pos="1843"/>
          <w:tab w:val="center" w:pos="6804"/>
          <w:tab w:val="right" w:pos="8647"/>
        </w:tabs>
        <w:jc w:val="both"/>
      </w:pPr>
      <w:r w:rsidRPr="007B36E5">
        <w:t xml:space="preserve">Od 164 planiranih uzoraka sirove vode izvorišta i bunara koji se koriste za vodoopskrbu stanovništva i privrede pitkom vodom na području Istarske županije uzorkovano je 151 uzorka. Prema planu iz tehničkih razloga u Vodovodu Pula nije realizirano uzorkovanje na dva mjesta (Valdragon 3 i Valdragon 4) što iznosi 8 uzoraka manje od planiranog, dok na </w:t>
      </w:r>
      <w:r w:rsidRPr="007B36E5">
        <w:lastRenderedPageBreak/>
        <w:t>Tivoliju nisu realizirana 2 uzorkovanja, te na Škatarima, Jadreškima i Fojbonu nije realizirano po 1 uzorkovanje. Uzorkovanja vode akumulacije Butoniga obavljeno je jedanput mjesečno.</w:t>
      </w:r>
    </w:p>
    <w:p w14:paraId="4B1FF685" w14:textId="77777777" w:rsidR="00AA0281" w:rsidRDefault="00AA0281" w:rsidP="00AA0281">
      <w:pPr>
        <w:tabs>
          <w:tab w:val="left" w:pos="993"/>
          <w:tab w:val="center" w:pos="1843"/>
          <w:tab w:val="center" w:pos="6804"/>
          <w:tab w:val="right" w:pos="8647"/>
        </w:tabs>
        <w:jc w:val="both"/>
        <w:rPr>
          <w:color w:val="FF0000"/>
        </w:rPr>
      </w:pPr>
    </w:p>
    <w:p w14:paraId="32A2B2D3" w14:textId="77777777" w:rsidR="00523E00" w:rsidRPr="007B36E5" w:rsidRDefault="00523E00" w:rsidP="00AA0281">
      <w:pPr>
        <w:tabs>
          <w:tab w:val="left" w:pos="993"/>
          <w:tab w:val="center" w:pos="1843"/>
          <w:tab w:val="center" w:pos="6804"/>
          <w:tab w:val="right" w:pos="8647"/>
        </w:tabs>
        <w:jc w:val="both"/>
        <w:rPr>
          <w:color w:val="FF0000"/>
        </w:rPr>
      </w:pPr>
    </w:p>
    <w:p w14:paraId="24413406" w14:textId="77777777" w:rsidR="00AA0281" w:rsidRPr="007B36E5" w:rsidRDefault="00AA0281" w:rsidP="00AA0281">
      <w:pPr>
        <w:pStyle w:val="ListParagraph"/>
        <w:numPr>
          <w:ilvl w:val="1"/>
          <w:numId w:val="27"/>
        </w:numPr>
        <w:tabs>
          <w:tab w:val="left" w:pos="708"/>
        </w:tabs>
        <w:rPr>
          <w:b/>
          <w:bCs/>
        </w:rPr>
      </w:pPr>
      <w:r w:rsidRPr="007B36E5">
        <w:rPr>
          <w:b/>
          <w:bCs/>
        </w:rPr>
        <w:t xml:space="preserve">AKTIVNOST: Praćenje kakvoće mora </w:t>
      </w:r>
    </w:p>
    <w:p w14:paraId="3D8D57FE" w14:textId="77777777" w:rsidR="00523E00" w:rsidRDefault="00523E00" w:rsidP="00AA0281">
      <w:pPr>
        <w:tabs>
          <w:tab w:val="left" w:pos="708"/>
        </w:tabs>
      </w:pPr>
    </w:p>
    <w:p w14:paraId="64D12C66" w14:textId="77777777" w:rsidR="00AA0281" w:rsidRDefault="00AA0281" w:rsidP="00AA0281">
      <w:pPr>
        <w:pStyle w:val="ListParagraph"/>
        <w:numPr>
          <w:ilvl w:val="0"/>
          <w:numId w:val="29"/>
        </w:numPr>
        <w:tabs>
          <w:tab w:val="left" w:pos="708"/>
        </w:tabs>
        <w:jc w:val="both"/>
      </w:pPr>
      <w:r w:rsidRPr="007B36E5">
        <w:rPr>
          <w:b/>
          <w:color w:val="000000"/>
        </w:rPr>
        <w:t xml:space="preserve">Obrazloženje: </w:t>
      </w:r>
      <w:r w:rsidRPr="007B36E5">
        <w:t xml:space="preserve">Praćenje kvalitete vode na morskim plažama provodi se prema Uredbi o kakvoći mora za kupanje (NN 73/08), a u cilju zaštite zdravlja kupača, ocjene općeg stanja priobalnog dijela mora, omogućavanja javnosti uvida u kvalitetu mora na plažama i njihov doprinos putem prijedloga i komentara. Na osnovu rezultata monitoringa detektirat će se kritične lokacije i mogući izvori onečišćenja, te će biti podloga za poduzimanje mjera zaštite zdravlja građana, morskog i priobalnog dijela okoliša preko nadležnih institucija. </w:t>
      </w:r>
    </w:p>
    <w:p w14:paraId="52BCAD8C" w14:textId="77777777" w:rsidR="00523E00" w:rsidRDefault="00523E00" w:rsidP="00523E00">
      <w:pPr>
        <w:pStyle w:val="ListParagraph"/>
        <w:tabs>
          <w:tab w:val="left" w:pos="708"/>
        </w:tabs>
        <w:ind w:left="643"/>
        <w:jc w:val="both"/>
      </w:pPr>
    </w:p>
    <w:p w14:paraId="0FF0B1E7" w14:textId="77777777" w:rsidR="00AA0281" w:rsidRDefault="00AA0281" w:rsidP="00AA0281">
      <w:pPr>
        <w:pStyle w:val="ListParagraph"/>
        <w:numPr>
          <w:ilvl w:val="0"/>
          <w:numId w:val="29"/>
        </w:numPr>
        <w:rPr>
          <w:b/>
        </w:rPr>
      </w:pPr>
      <w:r w:rsidRPr="007B36E5">
        <w:rPr>
          <w:b/>
        </w:rPr>
        <w:t>Cilj uspješnosti</w:t>
      </w:r>
    </w:p>
    <w:p w14:paraId="2C0A58F2" w14:textId="77777777" w:rsidR="000157DD" w:rsidRPr="000157DD" w:rsidRDefault="000157DD" w:rsidP="000157DD">
      <w:pPr>
        <w:rPr>
          <w:b/>
        </w:rPr>
      </w:pPr>
    </w:p>
    <w:tbl>
      <w:tblPr>
        <w:tblW w:w="9116" w:type="dxa"/>
        <w:tblInd w:w="93" w:type="dxa"/>
        <w:tblLook w:val="04A0" w:firstRow="1" w:lastRow="0" w:firstColumn="1" w:lastColumn="0" w:noHBand="0" w:noVBand="1"/>
      </w:tblPr>
      <w:tblGrid>
        <w:gridCol w:w="2860"/>
        <w:gridCol w:w="2380"/>
        <w:gridCol w:w="2380"/>
        <w:gridCol w:w="1496"/>
      </w:tblGrid>
      <w:tr w:rsidR="00AA0281" w:rsidRPr="00C2138A" w14:paraId="56A0CE3F" w14:textId="77777777" w:rsidTr="00114FE7">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48E5E440"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672367B"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3B898344" w14:textId="77777777" w:rsidTr="00114FE7">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72151E40"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2F367583"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5746EA98"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56A2B869" w14:textId="217B052A"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 xml:space="preserve"> TROŠAK PROVEDBE MJERE</w:t>
            </w:r>
            <w:r w:rsidR="00114FE7" w:rsidRPr="000E330E">
              <w:rPr>
                <w:rFonts w:ascii="Arial Narrow" w:hAnsi="Arial Narrow" w:cs="Calibri"/>
                <w:b/>
                <w:bCs/>
                <w:sz w:val="18"/>
                <w:szCs w:val="18"/>
                <w:lang w:eastAsia="hr-HR"/>
              </w:rPr>
              <w:t>-OSIGURANA SREDSTVA U PRORAČUNU IŽ</w:t>
            </w:r>
          </w:p>
        </w:tc>
      </w:tr>
      <w:tr w:rsidR="00AA0281" w:rsidRPr="00C2138A" w14:paraId="771610CD" w14:textId="77777777" w:rsidTr="00114FE7">
        <w:trPr>
          <w:trHeight w:val="1083"/>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57D897E"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5C106CAE"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7D263B1B"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A420705 Program praćenja kakvoće mora; </w:t>
            </w:r>
          </w:p>
        </w:tc>
        <w:tc>
          <w:tcPr>
            <w:tcW w:w="1496" w:type="dxa"/>
            <w:tcBorders>
              <w:top w:val="nil"/>
              <w:left w:val="single" w:sz="4" w:space="0" w:color="auto"/>
              <w:bottom w:val="single" w:sz="4" w:space="0" w:color="auto"/>
              <w:right w:val="single" w:sz="4" w:space="0" w:color="auto"/>
            </w:tcBorders>
            <w:shd w:val="clear" w:color="auto" w:fill="auto"/>
            <w:noWrap/>
            <w:vAlign w:val="center"/>
          </w:tcPr>
          <w:p w14:paraId="3EB66A3A" w14:textId="77777777" w:rsidR="00AA0281" w:rsidRPr="000D2CB2" w:rsidRDefault="00AA0281" w:rsidP="007B5AFD">
            <w:pPr>
              <w:jc w:val="center"/>
              <w:rPr>
                <w:rFonts w:ascii="Arial Narrow" w:hAnsi="Arial Narrow" w:cs="Calibri"/>
                <w:color w:val="FF0000"/>
                <w:sz w:val="20"/>
                <w:szCs w:val="20"/>
                <w:lang w:eastAsia="hr-HR"/>
              </w:rPr>
            </w:pPr>
            <w:r w:rsidRPr="000D2CB2">
              <w:rPr>
                <w:rFonts w:ascii="Arial Narrow" w:hAnsi="Arial Narrow" w:cs="Calibri"/>
                <w:sz w:val="20"/>
                <w:szCs w:val="20"/>
                <w:lang w:eastAsia="hr-HR"/>
              </w:rPr>
              <w:t>66,361,00 EUR</w:t>
            </w:r>
          </w:p>
        </w:tc>
      </w:tr>
    </w:tbl>
    <w:p w14:paraId="248F9198" w14:textId="77777777" w:rsidR="00AA0281" w:rsidRDefault="00AA0281" w:rsidP="00AA0281"/>
    <w:p w14:paraId="32D13748" w14:textId="77777777" w:rsidR="00AA0281" w:rsidRPr="007B36E5" w:rsidRDefault="00AA0281" w:rsidP="00AA0281">
      <w:pPr>
        <w:pStyle w:val="ListParagraph"/>
        <w:numPr>
          <w:ilvl w:val="0"/>
          <w:numId w:val="28"/>
        </w:numPr>
        <w:rPr>
          <w:b/>
        </w:rPr>
      </w:pPr>
      <w:r w:rsidRPr="007B36E5">
        <w:rPr>
          <w:b/>
        </w:rPr>
        <w:t>Pokazatelji uspješnosti</w:t>
      </w:r>
    </w:p>
    <w:p w14:paraId="1F428E70" w14:textId="77777777" w:rsidR="00AA0281" w:rsidRPr="005D05E1" w:rsidRDefault="00AA0281" w:rsidP="00AA0281">
      <w:pPr>
        <w:rPr>
          <w:b/>
        </w:rPr>
      </w:pPr>
    </w:p>
    <w:tbl>
      <w:tblPr>
        <w:tblW w:w="8974" w:type="dxa"/>
        <w:tblInd w:w="93" w:type="dxa"/>
        <w:tblLook w:val="04A0" w:firstRow="1" w:lastRow="0" w:firstColumn="1" w:lastColumn="0" w:noHBand="0" w:noVBand="1"/>
      </w:tblPr>
      <w:tblGrid>
        <w:gridCol w:w="4864"/>
        <w:gridCol w:w="992"/>
        <w:gridCol w:w="1276"/>
        <w:gridCol w:w="1842"/>
      </w:tblGrid>
      <w:tr w:rsidR="00AA0281" w:rsidRPr="00C2138A" w14:paraId="0AD988A1" w14:textId="77777777" w:rsidTr="007B5AFD">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575F2AE3"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FD3C40"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276" w:type="dxa"/>
            <w:tcBorders>
              <w:top w:val="single" w:sz="4" w:space="0" w:color="auto"/>
              <w:left w:val="nil"/>
              <w:bottom w:val="single" w:sz="4" w:space="0" w:color="auto"/>
              <w:right w:val="single" w:sz="4" w:space="0" w:color="auto"/>
            </w:tcBorders>
            <w:shd w:val="clear" w:color="000000" w:fill="F2F2F2"/>
            <w:noWrap/>
            <w:vAlign w:val="center"/>
            <w:hideMark/>
          </w:tcPr>
          <w:p w14:paraId="25FD51C5"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842" w:type="dxa"/>
            <w:tcBorders>
              <w:top w:val="single" w:sz="4" w:space="0" w:color="auto"/>
              <w:left w:val="nil"/>
              <w:bottom w:val="single" w:sz="4" w:space="0" w:color="auto"/>
              <w:right w:val="single" w:sz="4" w:space="0" w:color="auto"/>
            </w:tcBorders>
            <w:shd w:val="clear" w:color="000000" w:fill="F2F2F2"/>
            <w:noWrap/>
            <w:vAlign w:val="center"/>
            <w:hideMark/>
          </w:tcPr>
          <w:p w14:paraId="0236C96A"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267DF4" w14:paraId="3ACBB4D0" w14:textId="77777777" w:rsidTr="007B5AFD">
        <w:trPr>
          <w:trHeight w:val="447"/>
        </w:trPr>
        <w:tc>
          <w:tcPr>
            <w:tcW w:w="4864" w:type="dxa"/>
            <w:tcBorders>
              <w:top w:val="nil"/>
              <w:left w:val="single" w:sz="4" w:space="0" w:color="auto"/>
              <w:bottom w:val="single" w:sz="4" w:space="0" w:color="auto"/>
              <w:right w:val="single" w:sz="4" w:space="0" w:color="auto"/>
            </w:tcBorders>
            <w:shd w:val="clear" w:color="auto" w:fill="auto"/>
            <w:noWrap/>
            <w:vAlign w:val="center"/>
            <w:hideMark/>
          </w:tcPr>
          <w:p w14:paraId="565B46E8" w14:textId="77777777" w:rsidR="00AA0281" w:rsidRPr="000D2CB2" w:rsidRDefault="00AA0281" w:rsidP="007B5AFD">
            <w:pPr>
              <w:rPr>
                <w:rFonts w:ascii="Arial Narrow" w:hAnsi="Arial Narrow" w:cs="Calibri"/>
                <w:b/>
                <w:bCs/>
                <w:sz w:val="20"/>
                <w:szCs w:val="20"/>
                <w:lang w:eastAsia="hr-HR"/>
              </w:rPr>
            </w:pPr>
            <w:r w:rsidRPr="000D2CB2">
              <w:rPr>
                <w:rFonts w:ascii="Arial Narrow" w:hAnsi="Arial Narrow" w:cs="Calibri"/>
                <w:bCs/>
                <w:sz w:val="20"/>
                <w:szCs w:val="20"/>
                <w:lang w:eastAsia="hr-HR"/>
              </w:rPr>
              <w:t>Broj uzorkovanja mora</w:t>
            </w:r>
          </w:p>
        </w:tc>
        <w:tc>
          <w:tcPr>
            <w:tcW w:w="992" w:type="dxa"/>
            <w:tcBorders>
              <w:top w:val="nil"/>
              <w:left w:val="nil"/>
              <w:bottom w:val="single" w:sz="4" w:space="0" w:color="auto"/>
              <w:right w:val="single" w:sz="4" w:space="0" w:color="auto"/>
            </w:tcBorders>
            <w:shd w:val="clear" w:color="auto" w:fill="auto"/>
            <w:noWrap/>
            <w:vAlign w:val="center"/>
          </w:tcPr>
          <w:p w14:paraId="06BC0885"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2.170</w:t>
            </w:r>
          </w:p>
        </w:tc>
        <w:tc>
          <w:tcPr>
            <w:tcW w:w="1276" w:type="dxa"/>
            <w:tcBorders>
              <w:top w:val="nil"/>
              <w:left w:val="nil"/>
              <w:bottom w:val="single" w:sz="4" w:space="0" w:color="auto"/>
              <w:right w:val="single" w:sz="4" w:space="0" w:color="auto"/>
            </w:tcBorders>
            <w:shd w:val="clear" w:color="auto" w:fill="auto"/>
            <w:noWrap/>
            <w:vAlign w:val="center"/>
          </w:tcPr>
          <w:p w14:paraId="769F7D20"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2.170</w:t>
            </w:r>
          </w:p>
        </w:tc>
        <w:tc>
          <w:tcPr>
            <w:tcW w:w="1842" w:type="dxa"/>
            <w:tcBorders>
              <w:top w:val="nil"/>
              <w:left w:val="nil"/>
              <w:bottom w:val="single" w:sz="4" w:space="0" w:color="auto"/>
              <w:right w:val="single" w:sz="4" w:space="0" w:color="auto"/>
            </w:tcBorders>
            <w:shd w:val="clear" w:color="auto" w:fill="auto"/>
            <w:noWrap/>
            <w:vAlign w:val="center"/>
          </w:tcPr>
          <w:p w14:paraId="5F903846"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2.170</w:t>
            </w:r>
          </w:p>
        </w:tc>
      </w:tr>
    </w:tbl>
    <w:p w14:paraId="33E4722B" w14:textId="77777777" w:rsidR="00AA0281" w:rsidRDefault="00AA0281" w:rsidP="00AA0281">
      <w:pPr>
        <w:jc w:val="both"/>
        <w:rPr>
          <w:rFonts w:ascii="Arial Narrow" w:hAnsi="Arial Narrow" w:cs="Calibri"/>
          <w:bCs/>
          <w:lang w:eastAsia="hr-HR"/>
        </w:rPr>
      </w:pPr>
    </w:p>
    <w:p w14:paraId="4303BEF4" w14:textId="77777777" w:rsidR="00AA0281" w:rsidRPr="007B36E5" w:rsidRDefault="00AA0281" w:rsidP="00AA0281">
      <w:pPr>
        <w:rPr>
          <w:b/>
        </w:rPr>
      </w:pPr>
      <w:r w:rsidRPr="007B36E5">
        <w:rPr>
          <w:b/>
        </w:rPr>
        <w:t>Izvještaj o postignutim ciljevima i rezultatima programa temeljenim na pokazateljima uspješnosti:</w:t>
      </w:r>
    </w:p>
    <w:p w14:paraId="01C16A57" w14:textId="77777777" w:rsidR="00AA0281" w:rsidRPr="007B36E5" w:rsidRDefault="00AA0281" w:rsidP="00AA0281">
      <w:pPr>
        <w:tabs>
          <w:tab w:val="left" w:pos="993"/>
          <w:tab w:val="center" w:pos="1843"/>
          <w:tab w:val="center" w:pos="6804"/>
          <w:tab w:val="right" w:pos="8647"/>
        </w:tabs>
        <w:jc w:val="both"/>
      </w:pPr>
      <w:r w:rsidRPr="007B36E5">
        <w:t xml:space="preserve">Provedena su deset uzorkovanja mora. Ukupno je ispitano </w:t>
      </w:r>
      <w:r w:rsidRPr="007B36E5">
        <w:rPr>
          <w:color w:val="000000"/>
        </w:rPr>
        <w:t>2.170</w:t>
      </w:r>
      <w:r w:rsidRPr="007B36E5">
        <w:t xml:space="preserve"> uzoraka u redovnom ispitivanju i </w:t>
      </w:r>
      <w:r w:rsidRPr="007B36E5">
        <w:rPr>
          <w:color w:val="000000"/>
        </w:rPr>
        <w:t>20</w:t>
      </w:r>
      <w:r w:rsidRPr="007B36E5">
        <w:t xml:space="preserve"> uzoraka na osnovu pojava kratkotrajnih  i iznenadnih onečišćenja.</w:t>
      </w:r>
      <w:r w:rsidRPr="007B36E5">
        <w:rPr>
          <w:color w:val="FF0000"/>
        </w:rPr>
        <w:t xml:space="preserve"> </w:t>
      </w:r>
      <w:r w:rsidRPr="007B36E5">
        <w:t xml:space="preserve">97,5% uzoraka ocjenjeno je izvrsnom kakvoćom, 1,8% uzoraka dobrom kakvoćom, 0,8% uzoraka zadovoljavajućom kakvoćom i niti jedan uzorak nezadovoljavajućom kakvoćom mora. </w:t>
      </w:r>
    </w:p>
    <w:p w14:paraId="74193AF5" w14:textId="77777777" w:rsidR="00AA0281" w:rsidRPr="007B36E5" w:rsidRDefault="00AA0281" w:rsidP="00AA0281">
      <w:pPr>
        <w:tabs>
          <w:tab w:val="left" w:pos="993"/>
          <w:tab w:val="center" w:pos="1843"/>
          <w:tab w:val="center" w:pos="6804"/>
          <w:tab w:val="right" w:pos="8647"/>
        </w:tabs>
        <w:jc w:val="both"/>
        <w:rPr>
          <w:color w:val="FF0000"/>
        </w:rPr>
      </w:pPr>
    </w:p>
    <w:p w14:paraId="06F7C16B" w14:textId="77777777" w:rsidR="00AA0281" w:rsidRPr="007B36E5" w:rsidRDefault="00AA0281" w:rsidP="00AA0281">
      <w:pPr>
        <w:tabs>
          <w:tab w:val="left" w:pos="993"/>
          <w:tab w:val="center" w:pos="1843"/>
          <w:tab w:val="center" w:pos="6804"/>
          <w:tab w:val="right" w:pos="8647"/>
        </w:tabs>
        <w:jc w:val="both"/>
        <w:rPr>
          <w:color w:val="FF0000"/>
        </w:rPr>
      </w:pPr>
    </w:p>
    <w:p w14:paraId="69C3EC60" w14:textId="77777777" w:rsidR="00AA0281" w:rsidRPr="007B36E5" w:rsidRDefault="00AA0281" w:rsidP="00AA0281">
      <w:pPr>
        <w:pStyle w:val="ListParagraph"/>
        <w:numPr>
          <w:ilvl w:val="1"/>
          <w:numId w:val="27"/>
        </w:numPr>
        <w:tabs>
          <w:tab w:val="left" w:pos="1110"/>
          <w:tab w:val="left" w:pos="3119"/>
          <w:tab w:val="center" w:pos="6382"/>
        </w:tabs>
        <w:suppressAutoHyphens/>
        <w:autoSpaceDE w:val="0"/>
        <w:rPr>
          <w:b/>
          <w:bCs/>
          <w:lang w:eastAsia="ar-SA"/>
        </w:rPr>
      </w:pPr>
      <w:r w:rsidRPr="007B36E5">
        <w:rPr>
          <w:b/>
          <w:bCs/>
        </w:rPr>
        <w:t xml:space="preserve">AKTIVNOST: Program ispitivanja zdravstvene ispravnosti hrane i predmeta opće uporabe </w:t>
      </w:r>
    </w:p>
    <w:p w14:paraId="1C501C28" w14:textId="77777777" w:rsidR="00AA0281" w:rsidRPr="007B36E5" w:rsidRDefault="00AA0281" w:rsidP="00AA0281">
      <w:pPr>
        <w:tabs>
          <w:tab w:val="left" w:pos="1110"/>
          <w:tab w:val="left" w:pos="3119"/>
          <w:tab w:val="center" w:pos="6382"/>
        </w:tabs>
        <w:suppressAutoHyphens/>
        <w:autoSpaceDE w:val="0"/>
        <w:rPr>
          <w:lang w:eastAsia="ar-SA"/>
        </w:rPr>
      </w:pPr>
    </w:p>
    <w:p w14:paraId="4854F8FB" w14:textId="77777777" w:rsidR="00AA0281" w:rsidRPr="007B36E5" w:rsidRDefault="00AA0281" w:rsidP="00AA0281">
      <w:pPr>
        <w:pStyle w:val="ListParagraph"/>
        <w:numPr>
          <w:ilvl w:val="0"/>
          <w:numId w:val="31"/>
        </w:numPr>
        <w:tabs>
          <w:tab w:val="left" w:pos="1110"/>
          <w:tab w:val="left" w:pos="3119"/>
          <w:tab w:val="center" w:pos="6382"/>
        </w:tabs>
        <w:suppressAutoHyphens/>
        <w:autoSpaceDE w:val="0"/>
        <w:jc w:val="both"/>
        <w:rPr>
          <w:lang w:eastAsia="ar-SA"/>
        </w:rPr>
      </w:pPr>
      <w:r w:rsidRPr="007B36E5">
        <w:rPr>
          <w:b/>
          <w:color w:val="000000"/>
        </w:rPr>
        <w:t xml:space="preserve">Obrazloženje: </w:t>
      </w:r>
      <w:r w:rsidRPr="007B36E5">
        <w:rPr>
          <w:lang w:eastAsia="ar-SA"/>
        </w:rPr>
        <w:t>Analizom uzoraka iz maloprodajne mreže dobit će se uvid u zdravstvenu ispravnost hrane</w:t>
      </w:r>
      <w:r w:rsidRPr="007B36E5">
        <w:rPr>
          <w:color w:val="FF0000"/>
          <w:lang w:eastAsia="ar-SA"/>
        </w:rPr>
        <w:t xml:space="preserve"> </w:t>
      </w:r>
      <w:r w:rsidRPr="007B36E5">
        <w:rPr>
          <w:lang w:eastAsia="ar-SA"/>
        </w:rPr>
        <w:t xml:space="preserve">i predmeta opće uporabe, koji se nalaze u prometu na području Istarske županije, sukladno Zakonu o zdravstvenoj zaštiti. U tu svrhu ispitat će se parametri zdravstvene ispravnosti u uzorcima hrane i uzorcima predmeta </w:t>
      </w:r>
      <w:r w:rsidRPr="007B36E5">
        <w:rPr>
          <w:color w:val="000000" w:themeColor="text1"/>
          <w:lang w:eastAsia="ar-SA"/>
        </w:rPr>
        <w:t xml:space="preserve">koji dolaze u neposredan dodir s hranom, predmeta široke potrošnje i igračaka. U uzorcima će se ispitivati </w:t>
      </w:r>
      <w:r w:rsidRPr="007B36E5">
        <w:rPr>
          <w:color w:val="000000" w:themeColor="text1"/>
          <w:lang w:eastAsia="ar-SA"/>
        </w:rPr>
        <w:lastRenderedPageBreak/>
        <w:t>parametri zdravstvene ispravnosti sukladno važećoj zakonskoj regulativi i predloženom programu. Za sve će se uzorke izraditi pojedinačni izvještaji o ispitivanju, a izvještaji o ispitivanju neispravnih uzoraka dostavit će se Upravnom odjelu za zdravstvo i socijalnu skrb u Istarskoj županiji te nadležnim službama u Državnom inspektoratu</w:t>
      </w:r>
      <w:r w:rsidRPr="007B36E5">
        <w:rPr>
          <w:lang w:eastAsia="ar-SA"/>
        </w:rPr>
        <w:t>.</w:t>
      </w:r>
    </w:p>
    <w:p w14:paraId="443DEAB6" w14:textId="77777777" w:rsidR="00AA0281" w:rsidRDefault="00AA0281" w:rsidP="00AA0281">
      <w:pPr>
        <w:tabs>
          <w:tab w:val="left" w:pos="1110"/>
          <w:tab w:val="left" w:pos="3119"/>
          <w:tab w:val="center" w:pos="6382"/>
        </w:tabs>
        <w:suppressAutoHyphens/>
        <w:autoSpaceDE w:val="0"/>
        <w:jc w:val="both"/>
        <w:rPr>
          <w:lang w:eastAsia="ar-SA"/>
        </w:rPr>
      </w:pPr>
    </w:p>
    <w:p w14:paraId="1662190B" w14:textId="77777777" w:rsidR="00AA0281" w:rsidRPr="007B36E5" w:rsidRDefault="00AA0281" w:rsidP="00AA0281">
      <w:pPr>
        <w:pStyle w:val="ListParagraph"/>
        <w:numPr>
          <w:ilvl w:val="0"/>
          <w:numId w:val="29"/>
        </w:numPr>
        <w:rPr>
          <w:b/>
        </w:rPr>
      </w:pPr>
      <w:r w:rsidRPr="007B36E5">
        <w:rPr>
          <w:b/>
        </w:rPr>
        <w:t>Cilj uspješnosti</w:t>
      </w:r>
    </w:p>
    <w:p w14:paraId="4C677511" w14:textId="77777777" w:rsidR="00AA0281" w:rsidRPr="007050B2" w:rsidRDefault="00AA0281" w:rsidP="00AA0281">
      <w:pPr>
        <w:rPr>
          <w:rFonts w:cs="Arial"/>
          <w:b/>
        </w:rPr>
      </w:pPr>
    </w:p>
    <w:tbl>
      <w:tblPr>
        <w:tblW w:w="9116" w:type="dxa"/>
        <w:tblInd w:w="93" w:type="dxa"/>
        <w:tblLook w:val="04A0" w:firstRow="1" w:lastRow="0" w:firstColumn="1" w:lastColumn="0" w:noHBand="0" w:noVBand="1"/>
      </w:tblPr>
      <w:tblGrid>
        <w:gridCol w:w="2860"/>
        <w:gridCol w:w="2380"/>
        <w:gridCol w:w="2380"/>
        <w:gridCol w:w="1496"/>
      </w:tblGrid>
      <w:tr w:rsidR="00AA0281" w:rsidRPr="00C2138A" w14:paraId="7E777DCE" w14:textId="77777777" w:rsidTr="00114FE7">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3802DE40"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1150541"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3299A4EF" w14:textId="77777777" w:rsidTr="00114FE7">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492236F4"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40A316DE"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4BB10F86"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62AD6F74" w14:textId="09731880"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14FE7" w:rsidRPr="000E330E">
              <w:rPr>
                <w:rFonts w:ascii="Arial Narrow" w:hAnsi="Arial Narrow" w:cs="Calibri"/>
                <w:b/>
                <w:bCs/>
                <w:sz w:val="18"/>
                <w:szCs w:val="18"/>
                <w:lang w:eastAsia="hr-HR"/>
              </w:rPr>
              <w:t>-OSIGURANA SREDSTVA U PRORAČUNU IŽ</w:t>
            </w:r>
          </w:p>
        </w:tc>
      </w:tr>
      <w:tr w:rsidR="00AA0281" w:rsidRPr="00C2138A" w14:paraId="412A3AF7" w14:textId="77777777" w:rsidTr="00114FE7">
        <w:trPr>
          <w:trHeight w:val="1099"/>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B593EF6"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39D150EA"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2E19E9EA"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A420706 Program ispitivanja zdravstvene ispravnosti hrane; </w:t>
            </w:r>
          </w:p>
        </w:tc>
        <w:tc>
          <w:tcPr>
            <w:tcW w:w="1496" w:type="dxa"/>
            <w:tcBorders>
              <w:top w:val="nil"/>
              <w:left w:val="single" w:sz="4" w:space="0" w:color="auto"/>
              <w:bottom w:val="single" w:sz="4" w:space="0" w:color="auto"/>
              <w:right w:val="single" w:sz="4" w:space="0" w:color="auto"/>
            </w:tcBorders>
            <w:shd w:val="clear" w:color="auto" w:fill="auto"/>
            <w:noWrap/>
            <w:vAlign w:val="center"/>
          </w:tcPr>
          <w:p w14:paraId="332F85BC" w14:textId="77777777" w:rsidR="00AA0281" w:rsidRPr="000D2CB2" w:rsidRDefault="00AA0281" w:rsidP="007B5AFD">
            <w:pPr>
              <w:jc w:val="center"/>
              <w:rPr>
                <w:rFonts w:ascii="Arial Narrow" w:hAnsi="Arial Narrow" w:cs="Calibri"/>
                <w:color w:val="FF0000"/>
                <w:sz w:val="20"/>
                <w:szCs w:val="20"/>
                <w:lang w:eastAsia="hr-HR"/>
              </w:rPr>
            </w:pPr>
            <w:r w:rsidRPr="000D2CB2">
              <w:rPr>
                <w:rFonts w:ascii="Arial Narrow" w:hAnsi="Arial Narrow" w:cs="Calibri"/>
                <w:sz w:val="20"/>
                <w:szCs w:val="20"/>
                <w:lang w:eastAsia="hr-HR"/>
              </w:rPr>
              <w:t>41.489,00 EUR</w:t>
            </w:r>
          </w:p>
        </w:tc>
      </w:tr>
    </w:tbl>
    <w:p w14:paraId="0C24DC04" w14:textId="77777777" w:rsidR="00AA0281" w:rsidRDefault="00AA0281" w:rsidP="00AA0281"/>
    <w:p w14:paraId="0EFB8D2B" w14:textId="77777777" w:rsidR="00F74977" w:rsidRDefault="00F74977" w:rsidP="00AA0281"/>
    <w:p w14:paraId="7D194776" w14:textId="77777777" w:rsidR="00AA0281" w:rsidRPr="007B36E5" w:rsidRDefault="00AA0281" w:rsidP="00AA0281">
      <w:pPr>
        <w:pStyle w:val="ListParagraph"/>
        <w:numPr>
          <w:ilvl w:val="0"/>
          <w:numId w:val="28"/>
        </w:numPr>
        <w:rPr>
          <w:b/>
        </w:rPr>
      </w:pPr>
      <w:r w:rsidRPr="007B36E5">
        <w:rPr>
          <w:b/>
        </w:rPr>
        <w:t>Pokazatelji uspješnosti</w:t>
      </w:r>
    </w:p>
    <w:p w14:paraId="4DD77B0B" w14:textId="77777777" w:rsidR="00AA0281" w:rsidRPr="007050B2" w:rsidRDefault="00AA0281" w:rsidP="00AA0281">
      <w:pPr>
        <w:rPr>
          <w:rFonts w:cs="Arial"/>
          <w:b/>
        </w:rPr>
      </w:pPr>
    </w:p>
    <w:tbl>
      <w:tblPr>
        <w:tblW w:w="9116" w:type="dxa"/>
        <w:tblInd w:w="93" w:type="dxa"/>
        <w:tblLook w:val="04A0" w:firstRow="1" w:lastRow="0" w:firstColumn="1" w:lastColumn="0" w:noHBand="0" w:noVBand="1"/>
      </w:tblPr>
      <w:tblGrid>
        <w:gridCol w:w="4297"/>
        <w:gridCol w:w="1701"/>
        <w:gridCol w:w="1275"/>
        <w:gridCol w:w="1843"/>
      </w:tblGrid>
      <w:tr w:rsidR="00AA0281" w:rsidRPr="00C2138A" w14:paraId="62EA9573" w14:textId="77777777" w:rsidTr="007B5AFD">
        <w:trPr>
          <w:trHeight w:val="480"/>
        </w:trPr>
        <w:tc>
          <w:tcPr>
            <w:tcW w:w="4297" w:type="dxa"/>
            <w:tcBorders>
              <w:top w:val="single" w:sz="4" w:space="0" w:color="auto"/>
              <w:left w:val="single" w:sz="4" w:space="0" w:color="auto"/>
              <w:bottom w:val="single" w:sz="4" w:space="0" w:color="auto"/>
              <w:right w:val="nil"/>
            </w:tcBorders>
            <w:shd w:val="clear" w:color="000000" w:fill="F2F2F2"/>
            <w:vAlign w:val="center"/>
            <w:hideMark/>
          </w:tcPr>
          <w:p w14:paraId="5E983487"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7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240F97"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275" w:type="dxa"/>
            <w:tcBorders>
              <w:top w:val="single" w:sz="4" w:space="0" w:color="auto"/>
              <w:left w:val="nil"/>
              <w:bottom w:val="single" w:sz="4" w:space="0" w:color="auto"/>
              <w:right w:val="single" w:sz="4" w:space="0" w:color="auto"/>
            </w:tcBorders>
            <w:shd w:val="clear" w:color="000000" w:fill="F2F2F2"/>
            <w:noWrap/>
            <w:vAlign w:val="center"/>
            <w:hideMark/>
          </w:tcPr>
          <w:p w14:paraId="5276C096"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30C72531"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C15CF2" w14:paraId="292EF74D" w14:textId="77777777" w:rsidTr="007B5AFD">
        <w:trPr>
          <w:trHeight w:val="570"/>
        </w:trPr>
        <w:tc>
          <w:tcPr>
            <w:tcW w:w="4297" w:type="dxa"/>
            <w:tcBorders>
              <w:top w:val="nil"/>
              <w:left w:val="single" w:sz="4" w:space="0" w:color="auto"/>
              <w:bottom w:val="single" w:sz="4" w:space="0" w:color="auto"/>
              <w:right w:val="single" w:sz="4" w:space="0" w:color="auto"/>
            </w:tcBorders>
            <w:shd w:val="clear" w:color="auto" w:fill="auto"/>
            <w:noWrap/>
            <w:vAlign w:val="center"/>
            <w:hideMark/>
          </w:tcPr>
          <w:p w14:paraId="5C745603" w14:textId="77777777" w:rsidR="00AA0281" w:rsidRPr="000D2CB2" w:rsidRDefault="00AA0281" w:rsidP="007B5AFD">
            <w:pPr>
              <w:rPr>
                <w:rFonts w:ascii="Arial Narrow" w:hAnsi="Arial Narrow" w:cs="Calibri"/>
                <w:b/>
                <w:bCs/>
                <w:sz w:val="20"/>
                <w:szCs w:val="20"/>
                <w:lang w:eastAsia="hr-HR"/>
              </w:rPr>
            </w:pPr>
            <w:r w:rsidRPr="000D2CB2">
              <w:rPr>
                <w:rFonts w:ascii="Arial Narrow" w:hAnsi="Arial Narrow" w:cs="Calibri"/>
                <w:bCs/>
                <w:sz w:val="20"/>
                <w:szCs w:val="20"/>
                <w:lang w:eastAsia="hr-HR"/>
              </w:rPr>
              <w:t>Broj uzorkovanja hrane i predmeta opće uporabe</w:t>
            </w:r>
          </w:p>
        </w:tc>
        <w:tc>
          <w:tcPr>
            <w:tcW w:w="1701" w:type="dxa"/>
            <w:tcBorders>
              <w:top w:val="nil"/>
              <w:left w:val="nil"/>
              <w:bottom w:val="single" w:sz="4" w:space="0" w:color="auto"/>
              <w:right w:val="single" w:sz="4" w:space="0" w:color="auto"/>
            </w:tcBorders>
            <w:shd w:val="clear" w:color="auto" w:fill="auto"/>
            <w:noWrap/>
            <w:vAlign w:val="center"/>
          </w:tcPr>
          <w:p w14:paraId="761486E1"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298</w:t>
            </w:r>
          </w:p>
        </w:tc>
        <w:tc>
          <w:tcPr>
            <w:tcW w:w="1275" w:type="dxa"/>
            <w:tcBorders>
              <w:top w:val="nil"/>
              <w:left w:val="nil"/>
              <w:bottom w:val="single" w:sz="4" w:space="0" w:color="auto"/>
              <w:right w:val="single" w:sz="4" w:space="0" w:color="auto"/>
            </w:tcBorders>
            <w:shd w:val="clear" w:color="auto" w:fill="auto"/>
            <w:noWrap/>
            <w:vAlign w:val="center"/>
          </w:tcPr>
          <w:p w14:paraId="0C87651F"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298</w:t>
            </w:r>
          </w:p>
        </w:tc>
        <w:tc>
          <w:tcPr>
            <w:tcW w:w="1843" w:type="dxa"/>
            <w:tcBorders>
              <w:top w:val="nil"/>
              <w:left w:val="nil"/>
              <w:bottom w:val="single" w:sz="4" w:space="0" w:color="auto"/>
              <w:right w:val="single" w:sz="4" w:space="0" w:color="auto"/>
            </w:tcBorders>
            <w:shd w:val="clear" w:color="auto" w:fill="auto"/>
            <w:noWrap/>
            <w:vAlign w:val="center"/>
          </w:tcPr>
          <w:p w14:paraId="413F01A5"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298</w:t>
            </w:r>
          </w:p>
        </w:tc>
      </w:tr>
    </w:tbl>
    <w:p w14:paraId="09D20F15" w14:textId="77777777" w:rsidR="00AA0281" w:rsidRDefault="00AA0281" w:rsidP="00AA0281">
      <w:pPr>
        <w:rPr>
          <w:rFonts w:ascii="Arial" w:hAnsi="Arial" w:cs="Arial"/>
          <w:color w:val="FF0000"/>
        </w:rPr>
      </w:pPr>
    </w:p>
    <w:p w14:paraId="5A993E64" w14:textId="77777777" w:rsidR="00AA0281" w:rsidRPr="007B36E5" w:rsidRDefault="00AA0281" w:rsidP="00AA0281">
      <w:pPr>
        <w:rPr>
          <w:b/>
        </w:rPr>
      </w:pPr>
      <w:r w:rsidRPr="0092071C">
        <w:rPr>
          <w:rFonts w:ascii="Arial" w:hAnsi="Arial" w:cs="Arial"/>
          <w:color w:val="FF0000"/>
        </w:rPr>
        <w:t xml:space="preserve"> </w:t>
      </w:r>
      <w:r w:rsidRPr="007B36E5">
        <w:rPr>
          <w:b/>
        </w:rPr>
        <w:t>Izvještaj o postignutim ciljevima i rezultatima programa temeljenim na pokazateljima uspješnosti:</w:t>
      </w:r>
    </w:p>
    <w:p w14:paraId="43FB7126" w14:textId="77777777" w:rsidR="00AA0281" w:rsidRPr="007B36E5" w:rsidRDefault="00AA0281" w:rsidP="00AA0281">
      <w:pPr>
        <w:tabs>
          <w:tab w:val="left" w:pos="993"/>
          <w:tab w:val="left" w:pos="3402"/>
          <w:tab w:val="center" w:pos="7371"/>
        </w:tabs>
        <w:suppressAutoHyphens/>
        <w:autoSpaceDE w:val="0"/>
        <w:jc w:val="both"/>
        <w:rPr>
          <w:bCs/>
          <w:lang w:eastAsia="ar-SA"/>
        </w:rPr>
      </w:pPr>
      <w:r w:rsidRPr="007B36E5">
        <w:t xml:space="preserve">U sklopu Programa ispitivanja zdravstvene ispravnosti hrane </w:t>
      </w:r>
      <w:r w:rsidRPr="007B36E5">
        <w:rPr>
          <w:bCs/>
          <w:lang w:eastAsia="ar-SA"/>
        </w:rPr>
        <w:t>uzorkovano je</w:t>
      </w:r>
      <w:r w:rsidRPr="007B36E5">
        <w:t xml:space="preserve"> i ispitano </w:t>
      </w:r>
      <w:r w:rsidRPr="007B36E5">
        <w:rPr>
          <w:bCs/>
          <w:lang w:eastAsia="ar-SA"/>
        </w:rPr>
        <w:t>ukupno 298 uzoraka, od čega 285 uzoraka hrane i 13 uzoraka predmeta opće uporabe. Neispravno je bilo 11 uzoraka hrane (3,9%) od toga: tri sladoleda, tri kolača, tri gotova jela (sendvič, tost, tjestenina), jedno hladno gotovo jelo (salata tuna) i jedna svježa riba (fileti lososa). U svim uzorcima razlog neispravnosti bio je povećani broj aerobnih mezofilnih bakterija i enterobakterija u jednom gramu, a u jednom uzorku kolača povećan je bio i broj plijesni u jednom gramu.</w:t>
      </w:r>
    </w:p>
    <w:p w14:paraId="20308B15" w14:textId="77777777" w:rsidR="00AA0281" w:rsidRPr="007B36E5" w:rsidRDefault="00AA0281" w:rsidP="00AA0281">
      <w:pPr>
        <w:tabs>
          <w:tab w:val="left" w:pos="993"/>
          <w:tab w:val="left" w:pos="3402"/>
          <w:tab w:val="center" w:pos="7371"/>
        </w:tabs>
        <w:suppressAutoHyphens/>
        <w:autoSpaceDE w:val="0"/>
        <w:jc w:val="both"/>
        <w:rPr>
          <w:bCs/>
          <w:color w:val="FF0000"/>
          <w:lang w:eastAsia="ar-SA"/>
        </w:rPr>
      </w:pPr>
    </w:p>
    <w:p w14:paraId="01547B06" w14:textId="77777777" w:rsidR="00AA0281" w:rsidRPr="007B36E5" w:rsidRDefault="00AA0281" w:rsidP="00AA0281">
      <w:pPr>
        <w:tabs>
          <w:tab w:val="left" w:pos="993"/>
          <w:tab w:val="left" w:pos="3402"/>
          <w:tab w:val="center" w:pos="7371"/>
        </w:tabs>
        <w:suppressAutoHyphens/>
        <w:autoSpaceDE w:val="0"/>
        <w:jc w:val="both"/>
        <w:rPr>
          <w:bCs/>
          <w:color w:val="FF0000"/>
          <w:lang w:eastAsia="ar-SA"/>
        </w:rPr>
      </w:pPr>
    </w:p>
    <w:p w14:paraId="21005938" w14:textId="77777777" w:rsidR="00AA0281" w:rsidRPr="007B36E5" w:rsidRDefault="00AA0281" w:rsidP="00AA0281">
      <w:pPr>
        <w:pStyle w:val="ListParagraph"/>
        <w:numPr>
          <w:ilvl w:val="1"/>
          <w:numId w:val="27"/>
        </w:numPr>
        <w:tabs>
          <w:tab w:val="left" w:pos="708"/>
        </w:tabs>
        <w:rPr>
          <w:b/>
          <w:bCs/>
        </w:rPr>
      </w:pPr>
      <w:r w:rsidRPr="007B36E5">
        <w:rPr>
          <w:b/>
          <w:bCs/>
        </w:rPr>
        <w:t xml:space="preserve">AKTIVNOST: Analiza kvalitete prehrane, higijensko-sanitarni nadzor u predškolskim ustanovama </w:t>
      </w:r>
    </w:p>
    <w:p w14:paraId="256B6A20" w14:textId="77777777" w:rsidR="00AA0281" w:rsidRPr="007B36E5" w:rsidRDefault="00AA0281" w:rsidP="00AA0281">
      <w:pPr>
        <w:tabs>
          <w:tab w:val="left" w:pos="708"/>
        </w:tabs>
        <w:rPr>
          <w:b/>
          <w:bCs/>
        </w:rPr>
      </w:pPr>
    </w:p>
    <w:p w14:paraId="24D3161F" w14:textId="42B741B1" w:rsidR="00AA0281" w:rsidRPr="007B36E5" w:rsidRDefault="00AA0281" w:rsidP="00AA0281">
      <w:pPr>
        <w:pStyle w:val="ListParagraph"/>
        <w:numPr>
          <w:ilvl w:val="0"/>
          <w:numId w:val="29"/>
        </w:numPr>
        <w:tabs>
          <w:tab w:val="left" w:pos="708"/>
        </w:tabs>
        <w:jc w:val="both"/>
      </w:pPr>
      <w:r w:rsidRPr="007B36E5">
        <w:rPr>
          <w:b/>
        </w:rPr>
        <w:t xml:space="preserve">Obrazloženje: </w:t>
      </w:r>
      <w:r w:rsidRPr="007B36E5">
        <w:t>U</w:t>
      </w:r>
      <w:r w:rsidRPr="007B36E5">
        <w:rPr>
          <w:lang w:eastAsia="ar-SA"/>
        </w:rPr>
        <w:t xml:space="preserve"> predškolskim ustanovama Grada Pule</w:t>
      </w:r>
      <w:r w:rsidRPr="007B36E5">
        <w:t xml:space="preserve"> obavljat će se obilasci i uzo</w:t>
      </w:r>
      <w:r w:rsidR="00871187">
        <w:t>r</w:t>
      </w:r>
      <w:r w:rsidRPr="007B36E5">
        <w:t>kovanja kuhinjskih objekata u kojima se hrana priprema odnosno objekata u kojima se hrana samo dijeli, analizirat će se brisevi mikrobiološke čistoće, uzorci hrane (pripremljenog gotovog jela) radi ispitivanja mikrobiološke ispravnosti, uzorci vode za ljudsku potrošnju radi ispitivanja zdravstvene ispravnosti te cjelodnevni obroci i tjedni jelovnici radi analize kvalitete prehrane. Provodit će se na osnovi financijskih sredstava koje osigurava Grad Pula.</w:t>
      </w:r>
    </w:p>
    <w:p w14:paraId="798435FD" w14:textId="77777777" w:rsidR="00AA0281" w:rsidRDefault="00AA0281" w:rsidP="00AA0281">
      <w:pPr>
        <w:rPr>
          <w:color w:val="FF0000"/>
        </w:rPr>
      </w:pPr>
    </w:p>
    <w:p w14:paraId="72740427" w14:textId="77777777" w:rsidR="00C938DD" w:rsidRDefault="00C938DD" w:rsidP="00AA0281">
      <w:pPr>
        <w:rPr>
          <w:color w:val="FF0000"/>
        </w:rPr>
      </w:pPr>
    </w:p>
    <w:p w14:paraId="60182C62" w14:textId="77777777" w:rsidR="00AA0281" w:rsidRPr="007B36E5" w:rsidRDefault="00AA0281" w:rsidP="00AA0281">
      <w:pPr>
        <w:pStyle w:val="ListParagraph"/>
        <w:numPr>
          <w:ilvl w:val="0"/>
          <w:numId w:val="29"/>
        </w:numPr>
        <w:rPr>
          <w:b/>
        </w:rPr>
      </w:pPr>
      <w:r w:rsidRPr="007B36E5">
        <w:rPr>
          <w:b/>
        </w:rPr>
        <w:lastRenderedPageBreak/>
        <w:t>Cilj uspješnosti</w:t>
      </w:r>
    </w:p>
    <w:p w14:paraId="1A6BA703" w14:textId="77777777" w:rsidR="00AA0281" w:rsidRPr="00F85E5A" w:rsidRDefault="00AA0281" w:rsidP="00AA0281">
      <w:pPr>
        <w:rPr>
          <w:rFonts w:cs="Arial"/>
          <w:b/>
          <w:color w:val="FF0000"/>
        </w:rPr>
      </w:pPr>
    </w:p>
    <w:tbl>
      <w:tblPr>
        <w:tblW w:w="9116" w:type="dxa"/>
        <w:tblInd w:w="93" w:type="dxa"/>
        <w:tblLook w:val="04A0" w:firstRow="1" w:lastRow="0" w:firstColumn="1" w:lastColumn="0" w:noHBand="0" w:noVBand="1"/>
      </w:tblPr>
      <w:tblGrid>
        <w:gridCol w:w="2860"/>
        <w:gridCol w:w="2380"/>
        <w:gridCol w:w="2380"/>
        <w:gridCol w:w="1496"/>
      </w:tblGrid>
      <w:tr w:rsidR="00AA0281" w:rsidRPr="00F85E5A" w14:paraId="683679A5" w14:textId="77777777" w:rsidTr="001B06BF">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2EF2D7C9"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54D0E9D"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PLANIRANA SREDSTVA U PRORAČUNU ISTARSKE ŽUPANIJE</w:t>
            </w:r>
          </w:p>
        </w:tc>
      </w:tr>
      <w:tr w:rsidR="00AA0281" w:rsidRPr="00F85E5A" w14:paraId="7A1C2DEA" w14:textId="77777777" w:rsidTr="001B06BF">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0CE59C44" w14:textId="77777777" w:rsidR="00AA0281" w:rsidRPr="000E330E" w:rsidRDefault="00AA0281" w:rsidP="007B5AFD">
            <w:pPr>
              <w:rPr>
                <w:rFonts w:ascii="Arial Narrow" w:hAnsi="Arial Narrow" w:cs="Calibri"/>
                <w:b/>
                <w:bCs/>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5FA890B4"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60C4257A"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5FDE9C39" w14:textId="15E7DF70"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B06BF" w:rsidRPr="000E330E">
              <w:rPr>
                <w:rFonts w:ascii="Arial Narrow" w:hAnsi="Arial Narrow" w:cs="Calibri"/>
                <w:b/>
                <w:bCs/>
                <w:sz w:val="18"/>
                <w:szCs w:val="18"/>
                <w:lang w:eastAsia="hr-HR"/>
              </w:rPr>
              <w:t>-OSIGURANA SREDSTVA U PRORAČUNU IŽ</w:t>
            </w:r>
          </w:p>
        </w:tc>
      </w:tr>
      <w:tr w:rsidR="00AA0281" w:rsidRPr="00F85E5A" w14:paraId="33D52A58" w14:textId="77777777" w:rsidTr="001B06BF">
        <w:trPr>
          <w:trHeight w:val="891"/>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61A69D6"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5E5B0C16"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color w:val="000000"/>
                <w:sz w:val="20"/>
                <w:szCs w:val="20"/>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65EB7D8F"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A420709 Analiza kvalitete prehrane, higijensko-sanitarni nadzor; </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CC16D" w14:textId="77777777" w:rsidR="00AA0281" w:rsidRPr="000D2CB2" w:rsidRDefault="00AA0281" w:rsidP="007B5AFD">
            <w:pPr>
              <w:jc w:val="center"/>
              <w:rPr>
                <w:rFonts w:ascii="Arial Narrow" w:hAnsi="Arial Narrow" w:cs="Calibri"/>
                <w:sz w:val="20"/>
                <w:szCs w:val="20"/>
                <w:lang w:eastAsia="hr-HR"/>
              </w:rPr>
            </w:pPr>
            <w:r w:rsidRPr="000D2CB2">
              <w:rPr>
                <w:rFonts w:ascii="Arial Narrow" w:hAnsi="Arial Narrow" w:cs="Calibri"/>
                <w:sz w:val="20"/>
                <w:szCs w:val="20"/>
                <w:lang w:eastAsia="hr-HR"/>
              </w:rPr>
              <w:t>11.733,00 EUR</w:t>
            </w:r>
          </w:p>
        </w:tc>
      </w:tr>
    </w:tbl>
    <w:p w14:paraId="13C65135" w14:textId="77777777" w:rsidR="00AA0281" w:rsidRDefault="00AA0281" w:rsidP="00AA0281"/>
    <w:p w14:paraId="60BCAD87" w14:textId="77777777" w:rsidR="00AA0281" w:rsidRPr="007B36E5" w:rsidRDefault="00AA0281" w:rsidP="00AA0281">
      <w:pPr>
        <w:pStyle w:val="ListParagraph"/>
        <w:numPr>
          <w:ilvl w:val="0"/>
          <w:numId w:val="28"/>
        </w:numPr>
        <w:rPr>
          <w:b/>
        </w:rPr>
      </w:pPr>
      <w:r w:rsidRPr="007B36E5">
        <w:rPr>
          <w:b/>
        </w:rPr>
        <w:t>Pokazatelji uspješnosti</w:t>
      </w:r>
    </w:p>
    <w:p w14:paraId="4159FD3E" w14:textId="77777777" w:rsidR="00AA0281" w:rsidRPr="003422BA" w:rsidRDefault="00AA0281" w:rsidP="00AA0281">
      <w:pPr>
        <w:rPr>
          <w:rFonts w:cs="Arial"/>
          <w:b/>
        </w:rPr>
      </w:pPr>
    </w:p>
    <w:tbl>
      <w:tblPr>
        <w:tblW w:w="8833" w:type="dxa"/>
        <w:tblInd w:w="93" w:type="dxa"/>
        <w:tblLook w:val="04A0" w:firstRow="1" w:lastRow="0" w:firstColumn="1" w:lastColumn="0" w:noHBand="0" w:noVBand="1"/>
      </w:tblPr>
      <w:tblGrid>
        <w:gridCol w:w="4013"/>
        <w:gridCol w:w="1559"/>
        <w:gridCol w:w="1134"/>
        <w:gridCol w:w="2127"/>
      </w:tblGrid>
      <w:tr w:rsidR="00AA0281" w:rsidRPr="00C2138A" w14:paraId="73CEBB0C" w14:textId="77777777" w:rsidTr="007B5AFD">
        <w:trPr>
          <w:trHeight w:val="480"/>
        </w:trPr>
        <w:tc>
          <w:tcPr>
            <w:tcW w:w="4013" w:type="dxa"/>
            <w:tcBorders>
              <w:top w:val="single" w:sz="4" w:space="0" w:color="auto"/>
              <w:left w:val="single" w:sz="4" w:space="0" w:color="auto"/>
              <w:bottom w:val="single" w:sz="4" w:space="0" w:color="auto"/>
              <w:right w:val="nil"/>
            </w:tcBorders>
            <w:shd w:val="clear" w:color="000000" w:fill="F2F2F2"/>
            <w:vAlign w:val="center"/>
            <w:hideMark/>
          </w:tcPr>
          <w:p w14:paraId="34550E43"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E10F8E8"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2C29AA95"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2127" w:type="dxa"/>
            <w:tcBorders>
              <w:top w:val="single" w:sz="4" w:space="0" w:color="auto"/>
              <w:left w:val="nil"/>
              <w:bottom w:val="single" w:sz="4" w:space="0" w:color="auto"/>
              <w:right w:val="single" w:sz="4" w:space="0" w:color="auto"/>
            </w:tcBorders>
            <w:shd w:val="clear" w:color="000000" w:fill="F2F2F2"/>
            <w:noWrap/>
            <w:vAlign w:val="center"/>
            <w:hideMark/>
          </w:tcPr>
          <w:p w14:paraId="5581E8D9"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C15CF2" w14:paraId="3E3A4946" w14:textId="77777777" w:rsidTr="007B5AFD">
        <w:trPr>
          <w:trHeight w:val="570"/>
        </w:trPr>
        <w:tc>
          <w:tcPr>
            <w:tcW w:w="4013" w:type="dxa"/>
            <w:tcBorders>
              <w:top w:val="nil"/>
              <w:left w:val="single" w:sz="4" w:space="0" w:color="auto"/>
              <w:bottom w:val="single" w:sz="4" w:space="0" w:color="auto"/>
              <w:right w:val="single" w:sz="4" w:space="0" w:color="auto"/>
            </w:tcBorders>
            <w:shd w:val="clear" w:color="auto" w:fill="auto"/>
            <w:noWrap/>
            <w:vAlign w:val="center"/>
          </w:tcPr>
          <w:p w14:paraId="5CEAC2FA"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Broj obilazaka objekata</w:t>
            </w:r>
          </w:p>
        </w:tc>
        <w:tc>
          <w:tcPr>
            <w:tcW w:w="1559" w:type="dxa"/>
            <w:tcBorders>
              <w:top w:val="nil"/>
              <w:left w:val="nil"/>
              <w:bottom w:val="single" w:sz="4" w:space="0" w:color="auto"/>
              <w:right w:val="single" w:sz="4" w:space="0" w:color="auto"/>
            </w:tcBorders>
            <w:shd w:val="clear" w:color="auto" w:fill="auto"/>
            <w:noWrap/>
            <w:vAlign w:val="center"/>
          </w:tcPr>
          <w:p w14:paraId="3546E855"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46</w:t>
            </w:r>
          </w:p>
        </w:tc>
        <w:tc>
          <w:tcPr>
            <w:tcW w:w="1134" w:type="dxa"/>
            <w:tcBorders>
              <w:top w:val="nil"/>
              <w:left w:val="nil"/>
              <w:bottom w:val="single" w:sz="4" w:space="0" w:color="auto"/>
              <w:right w:val="single" w:sz="4" w:space="0" w:color="auto"/>
            </w:tcBorders>
            <w:shd w:val="clear" w:color="auto" w:fill="auto"/>
            <w:noWrap/>
            <w:vAlign w:val="center"/>
          </w:tcPr>
          <w:p w14:paraId="7C4BD3DA"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46</w:t>
            </w:r>
          </w:p>
        </w:tc>
        <w:tc>
          <w:tcPr>
            <w:tcW w:w="2127" w:type="dxa"/>
            <w:tcBorders>
              <w:top w:val="nil"/>
              <w:left w:val="nil"/>
              <w:bottom w:val="single" w:sz="4" w:space="0" w:color="auto"/>
              <w:right w:val="single" w:sz="4" w:space="0" w:color="auto"/>
            </w:tcBorders>
            <w:shd w:val="clear" w:color="auto" w:fill="auto"/>
            <w:noWrap/>
            <w:vAlign w:val="center"/>
          </w:tcPr>
          <w:p w14:paraId="040B3D46"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48</w:t>
            </w:r>
          </w:p>
        </w:tc>
      </w:tr>
      <w:tr w:rsidR="00AA0281" w:rsidRPr="00C15CF2" w14:paraId="0E698B8F" w14:textId="77777777" w:rsidTr="007B5AFD">
        <w:trPr>
          <w:trHeight w:val="570"/>
        </w:trPr>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9C7A9"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Broj analiza kvalitete prehrane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0D984E"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98B01E"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20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9A94931"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20</w:t>
            </w:r>
          </w:p>
        </w:tc>
      </w:tr>
    </w:tbl>
    <w:p w14:paraId="021BAD9E" w14:textId="77777777" w:rsidR="00AA0281" w:rsidRDefault="00AA0281" w:rsidP="00AA0281">
      <w:pPr>
        <w:rPr>
          <w:rFonts w:ascii="Arial" w:hAnsi="Arial" w:cs="Arial"/>
          <w:color w:val="FF0000"/>
        </w:rPr>
      </w:pPr>
    </w:p>
    <w:p w14:paraId="7AE03081" w14:textId="77777777" w:rsidR="00AA0281" w:rsidRPr="007B36E5" w:rsidRDefault="00AA0281" w:rsidP="00AA0281">
      <w:pPr>
        <w:rPr>
          <w:b/>
        </w:rPr>
      </w:pPr>
      <w:r w:rsidRPr="007B36E5">
        <w:rPr>
          <w:color w:val="FF0000"/>
        </w:rPr>
        <w:t xml:space="preserve"> </w:t>
      </w:r>
      <w:r w:rsidRPr="007B36E5">
        <w:rPr>
          <w:b/>
        </w:rPr>
        <w:t>Izvještaj o postignutim ciljevima i rezultatima programa temeljenim na pokazateljima uspješnosti:</w:t>
      </w:r>
    </w:p>
    <w:p w14:paraId="05B1C838" w14:textId="0B5FF99F" w:rsidR="00AA0281" w:rsidRPr="007C3562" w:rsidRDefault="00AA0281" w:rsidP="00AA0281">
      <w:pPr>
        <w:jc w:val="both"/>
      </w:pPr>
      <w:r w:rsidRPr="007C3562">
        <w:t>U</w:t>
      </w:r>
      <w:r w:rsidRPr="007C3562">
        <w:rPr>
          <w:lang w:eastAsia="ar-SA"/>
        </w:rPr>
        <w:t xml:space="preserve"> predškolskim ustanovama Grada Pule</w:t>
      </w:r>
      <w:r w:rsidRPr="007C3562">
        <w:t xml:space="preserve"> obavljena su 48 uzo</w:t>
      </w:r>
      <w:r w:rsidR="00871187">
        <w:t>r</w:t>
      </w:r>
      <w:r w:rsidRPr="007C3562">
        <w:t xml:space="preserve">kovanja, ispitano je 340 briseva mikrobiološke čistoće, 20 uzoraka hrane (pripremljenog gotovog jela) radi ispitivanja mikrobiološke ispravnosti, 19 uzoraka vode za ljudsku potrošnju radi ispitivanja zdravstvene ispravnosti te 20 cjelodnevnih obroka i 20 tjednih jelovnika radi analize kvalitete prehrane. Ispitana mikrobiološka čistoća bila je zadovoljavajuća u svim objektima. Nađena su manja odstupanja od preporučenih vrijednosti dnevnog unosa energije i hranjivih tvari u pojedinim analiziranim cjelodnevnim obrocima i tjednim jelovnicima, predložena su poboljšanja. </w:t>
      </w:r>
    </w:p>
    <w:p w14:paraId="105AC06C" w14:textId="77777777" w:rsidR="00AA0281" w:rsidRPr="007C3562" w:rsidRDefault="00AA0281" w:rsidP="00AA0281">
      <w:pPr>
        <w:jc w:val="both"/>
        <w:rPr>
          <w:color w:val="FF0000"/>
        </w:rPr>
      </w:pPr>
    </w:p>
    <w:p w14:paraId="0494ABEE" w14:textId="77777777" w:rsidR="00AA0281" w:rsidRDefault="00AA0281" w:rsidP="00AA0281">
      <w:pPr>
        <w:rPr>
          <w:color w:val="FF0000"/>
        </w:rPr>
      </w:pPr>
    </w:p>
    <w:p w14:paraId="63637686" w14:textId="77777777" w:rsidR="00F74977" w:rsidRPr="007C3562" w:rsidRDefault="00F74977" w:rsidP="00AA0281">
      <w:pPr>
        <w:rPr>
          <w:color w:val="FF0000"/>
        </w:rPr>
      </w:pPr>
    </w:p>
    <w:p w14:paraId="569481E2" w14:textId="77777777" w:rsidR="00AA0281" w:rsidRPr="007C3562" w:rsidRDefault="00AA0281" w:rsidP="00AA0281">
      <w:pPr>
        <w:pStyle w:val="ListParagraph"/>
        <w:numPr>
          <w:ilvl w:val="1"/>
          <w:numId w:val="27"/>
        </w:numPr>
        <w:tabs>
          <w:tab w:val="left" w:pos="708"/>
        </w:tabs>
        <w:rPr>
          <w:b/>
          <w:bCs/>
        </w:rPr>
      </w:pPr>
      <w:bookmarkStart w:id="3" w:name="_Hlk160531321"/>
      <w:r w:rsidRPr="007C3562">
        <w:rPr>
          <w:b/>
          <w:bCs/>
        </w:rPr>
        <w:t>AKTIVNOST: Ažuriranje baze podataka legla komaraca i provedba edukacije</w:t>
      </w:r>
    </w:p>
    <w:bookmarkEnd w:id="3"/>
    <w:p w14:paraId="45DF2218" w14:textId="77777777" w:rsidR="00AA0281" w:rsidRPr="007C3562" w:rsidRDefault="00AA0281" w:rsidP="00AA0281">
      <w:pPr>
        <w:tabs>
          <w:tab w:val="left" w:pos="708"/>
        </w:tabs>
      </w:pPr>
    </w:p>
    <w:p w14:paraId="1C2BD9AC" w14:textId="77777777" w:rsidR="00AA0281" w:rsidRPr="007C3562" w:rsidRDefault="00AA0281" w:rsidP="00AA0281">
      <w:pPr>
        <w:pStyle w:val="ListParagraph"/>
        <w:numPr>
          <w:ilvl w:val="0"/>
          <w:numId w:val="32"/>
        </w:numPr>
        <w:tabs>
          <w:tab w:val="left" w:pos="708"/>
        </w:tabs>
        <w:jc w:val="both"/>
      </w:pPr>
      <w:r w:rsidRPr="007C3562">
        <w:rPr>
          <w:b/>
          <w:color w:val="000000"/>
        </w:rPr>
        <w:t xml:space="preserve">Obrazloženje: </w:t>
      </w:r>
      <w:r w:rsidRPr="007C3562">
        <w:t>Nakon izvida, pristupa se popunjavanju baze podataka o leglima komaraca na području grada Pule, a zatim i s akcijama larvicidnog tretiranja. Tijekom obilaska terena i popisivanja aktivnih legla komaraca stanovništvu se dijele edukativni leci te različiti savjeti i upute kako smanjiti broj komaraca u svom okruženju. Nakon zaprimljenog poziva građana (telefon i e-mail) također se pretražuje okolni teren te otkrivaju aktivna legla komaraca. Takvo leglo se unosi u katastar legla pri NZZJZ IŽ a sporno mjesto se uvrsti u raspored tretmana ciljanih mjesta (žarišta) komaraca. U svrhu kvalitetnijeg, preglednijeg i sveobuhvatnijeg uvida u  pregled aktivnih legla komaraca, izrađena je GIS baza podataka katastra legla komaraca. Ažurirani popis legla služi kao podloga praćenja legla u slijedećim akcijama. Također organiziraju se edukativne aktivnosti i događanja na kojima se građane upoznaje s komarcima kao potencijalnim prenosiocima bolesti i načinima smanjivanja njihove brojnosti. Provodit će se na osnovi financijskih sredstava koje osigurava Grad Pula.</w:t>
      </w:r>
    </w:p>
    <w:p w14:paraId="723B1604" w14:textId="77777777" w:rsidR="00AA0281" w:rsidRDefault="00AA0281" w:rsidP="00AA0281">
      <w:pPr>
        <w:tabs>
          <w:tab w:val="left" w:pos="708"/>
        </w:tabs>
        <w:jc w:val="both"/>
      </w:pPr>
    </w:p>
    <w:p w14:paraId="5FC88D3D" w14:textId="77777777" w:rsidR="00AA0281" w:rsidRPr="007C3562" w:rsidRDefault="00AA0281" w:rsidP="00AA0281">
      <w:pPr>
        <w:pStyle w:val="ListParagraph"/>
        <w:numPr>
          <w:ilvl w:val="0"/>
          <w:numId w:val="29"/>
        </w:numPr>
        <w:rPr>
          <w:b/>
        </w:rPr>
      </w:pPr>
      <w:r w:rsidRPr="007C3562">
        <w:rPr>
          <w:b/>
        </w:rPr>
        <w:lastRenderedPageBreak/>
        <w:t>Cilj uspješnosti</w:t>
      </w:r>
    </w:p>
    <w:p w14:paraId="2BDF4BAE" w14:textId="77777777" w:rsidR="00AA0281" w:rsidRDefault="00AA0281" w:rsidP="00AA0281">
      <w:pPr>
        <w:rPr>
          <w:b/>
        </w:rPr>
      </w:pPr>
    </w:p>
    <w:tbl>
      <w:tblPr>
        <w:tblW w:w="9116" w:type="dxa"/>
        <w:tblInd w:w="93" w:type="dxa"/>
        <w:tblLook w:val="04A0" w:firstRow="1" w:lastRow="0" w:firstColumn="1" w:lastColumn="0" w:noHBand="0" w:noVBand="1"/>
      </w:tblPr>
      <w:tblGrid>
        <w:gridCol w:w="2860"/>
        <w:gridCol w:w="2380"/>
        <w:gridCol w:w="2380"/>
        <w:gridCol w:w="1496"/>
      </w:tblGrid>
      <w:tr w:rsidR="00AA0281" w:rsidRPr="00F85E5A" w14:paraId="77C7C690" w14:textId="77777777" w:rsidTr="001B06BF">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306728FB"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09BE5B3"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PLANIRANA SREDSTVA U PRORAČUNU ISTARSKE ŽUPANIJE</w:t>
            </w:r>
          </w:p>
        </w:tc>
      </w:tr>
      <w:tr w:rsidR="00AA0281" w:rsidRPr="00F85E5A" w14:paraId="3E30AB0E" w14:textId="77777777" w:rsidTr="001B06BF">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4619678B" w14:textId="77777777" w:rsidR="00AA0281" w:rsidRPr="000E330E" w:rsidRDefault="00AA0281" w:rsidP="007B5AFD">
            <w:pPr>
              <w:rPr>
                <w:rFonts w:ascii="Arial Narrow" w:hAnsi="Arial Narrow" w:cs="Calibri"/>
                <w:b/>
                <w:bCs/>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57A60DCC"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186C1DD5"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06C13C3D" w14:textId="5C8B3944"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B06BF" w:rsidRPr="000E330E">
              <w:rPr>
                <w:rFonts w:ascii="Arial Narrow" w:hAnsi="Arial Narrow" w:cs="Calibri"/>
                <w:b/>
                <w:bCs/>
                <w:sz w:val="18"/>
                <w:szCs w:val="18"/>
                <w:lang w:eastAsia="hr-HR"/>
              </w:rPr>
              <w:t>-OSIGURANA SREDSTVA U PRORAČUNU IŽ</w:t>
            </w:r>
          </w:p>
        </w:tc>
      </w:tr>
      <w:tr w:rsidR="00AA0281" w:rsidRPr="00F85E5A" w14:paraId="43E7E684" w14:textId="77777777" w:rsidTr="001B06BF">
        <w:trPr>
          <w:trHeight w:val="939"/>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C1F0915"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7DAC5207"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color w:val="000000"/>
                <w:sz w:val="20"/>
                <w:szCs w:val="20"/>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56D3C9DB"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A420713 Ažuriranje baze podataka legla komaraca i provedba edukacije građana; </w:t>
            </w:r>
          </w:p>
        </w:tc>
        <w:tc>
          <w:tcPr>
            <w:tcW w:w="1496" w:type="dxa"/>
            <w:tcBorders>
              <w:top w:val="nil"/>
              <w:left w:val="single" w:sz="4" w:space="0" w:color="auto"/>
              <w:bottom w:val="single" w:sz="4" w:space="0" w:color="auto"/>
              <w:right w:val="single" w:sz="4" w:space="0" w:color="auto"/>
            </w:tcBorders>
            <w:shd w:val="clear" w:color="auto" w:fill="auto"/>
            <w:noWrap/>
            <w:vAlign w:val="center"/>
          </w:tcPr>
          <w:p w14:paraId="15F3C561" w14:textId="77777777" w:rsidR="00AA0281" w:rsidRPr="000D2CB2" w:rsidRDefault="00AA0281" w:rsidP="007B5AFD">
            <w:pPr>
              <w:jc w:val="center"/>
              <w:rPr>
                <w:rFonts w:ascii="Arial Narrow" w:hAnsi="Arial Narrow" w:cs="Calibri"/>
                <w:color w:val="FF0000"/>
                <w:sz w:val="20"/>
                <w:szCs w:val="20"/>
                <w:lang w:eastAsia="hr-HR"/>
              </w:rPr>
            </w:pPr>
            <w:r w:rsidRPr="000D2CB2">
              <w:rPr>
                <w:rFonts w:ascii="Arial Narrow" w:hAnsi="Arial Narrow" w:cs="Calibri"/>
                <w:sz w:val="20"/>
                <w:szCs w:val="20"/>
                <w:lang w:eastAsia="hr-HR"/>
              </w:rPr>
              <w:t>6.454,00 EUR</w:t>
            </w:r>
          </w:p>
        </w:tc>
      </w:tr>
    </w:tbl>
    <w:p w14:paraId="5BA52D53" w14:textId="77777777" w:rsidR="00AA0281" w:rsidRDefault="00AA0281" w:rsidP="00AA0281"/>
    <w:p w14:paraId="6AC8AC21" w14:textId="77777777" w:rsidR="00AA0281" w:rsidRPr="007C3562" w:rsidRDefault="00AA0281" w:rsidP="00AA0281">
      <w:pPr>
        <w:pStyle w:val="ListParagraph"/>
        <w:numPr>
          <w:ilvl w:val="0"/>
          <w:numId w:val="28"/>
        </w:numPr>
        <w:rPr>
          <w:b/>
        </w:rPr>
      </w:pPr>
      <w:bookmarkStart w:id="4" w:name="_Hlk160531113"/>
      <w:r w:rsidRPr="007C3562">
        <w:rPr>
          <w:b/>
        </w:rPr>
        <w:t>Pokazatelji uspješnosti</w:t>
      </w:r>
    </w:p>
    <w:p w14:paraId="2F806C2B" w14:textId="77777777" w:rsidR="00AA0281" w:rsidRPr="003422BA" w:rsidRDefault="00AA0281" w:rsidP="00AA0281">
      <w:pPr>
        <w:rPr>
          <w:rFonts w:cs="Arial"/>
          <w:b/>
        </w:rPr>
      </w:pPr>
    </w:p>
    <w:tbl>
      <w:tblPr>
        <w:tblW w:w="8974" w:type="dxa"/>
        <w:tblInd w:w="93" w:type="dxa"/>
        <w:tblLook w:val="04A0" w:firstRow="1" w:lastRow="0" w:firstColumn="1" w:lastColumn="0" w:noHBand="0" w:noVBand="1"/>
      </w:tblPr>
      <w:tblGrid>
        <w:gridCol w:w="4710"/>
        <w:gridCol w:w="1079"/>
        <w:gridCol w:w="1343"/>
        <w:gridCol w:w="1842"/>
      </w:tblGrid>
      <w:tr w:rsidR="00AA0281" w:rsidRPr="00C2138A" w14:paraId="3842998C" w14:textId="77777777" w:rsidTr="007B5AFD">
        <w:trPr>
          <w:trHeight w:val="480"/>
        </w:trPr>
        <w:tc>
          <w:tcPr>
            <w:tcW w:w="4710" w:type="dxa"/>
            <w:tcBorders>
              <w:top w:val="single" w:sz="4" w:space="0" w:color="auto"/>
              <w:left w:val="single" w:sz="4" w:space="0" w:color="auto"/>
              <w:bottom w:val="single" w:sz="4" w:space="0" w:color="auto"/>
              <w:right w:val="nil"/>
            </w:tcBorders>
            <w:shd w:val="clear" w:color="000000" w:fill="F2F2F2"/>
            <w:vAlign w:val="center"/>
            <w:hideMark/>
          </w:tcPr>
          <w:p w14:paraId="6CC282F6"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07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27134C"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343" w:type="dxa"/>
            <w:tcBorders>
              <w:top w:val="single" w:sz="4" w:space="0" w:color="auto"/>
              <w:left w:val="nil"/>
              <w:bottom w:val="single" w:sz="4" w:space="0" w:color="auto"/>
              <w:right w:val="single" w:sz="4" w:space="0" w:color="auto"/>
            </w:tcBorders>
            <w:shd w:val="clear" w:color="000000" w:fill="F2F2F2"/>
            <w:noWrap/>
            <w:vAlign w:val="center"/>
            <w:hideMark/>
          </w:tcPr>
          <w:p w14:paraId="5F1C353B"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842" w:type="dxa"/>
            <w:tcBorders>
              <w:top w:val="single" w:sz="4" w:space="0" w:color="auto"/>
              <w:left w:val="nil"/>
              <w:bottom w:val="single" w:sz="4" w:space="0" w:color="auto"/>
              <w:right w:val="single" w:sz="4" w:space="0" w:color="auto"/>
            </w:tcBorders>
            <w:shd w:val="clear" w:color="000000" w:fill="F2F2F2"/>
            <w:noWrap/>
            <w:vAlign w:val="center"/>
            <w:hideMark/>
          </w:tcPr>
          <w:p w14:paraId="5833048E"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C05B6F" w14:paraId="23CD96B7" w14:textId="77777777" w:rsidTr="007B5AFD">
        <w:trPr>
          <w:trHeight w:val="570"/>
        </w:trPr>
        <w:tc>
          <w:tcPr>
            <w:tcW w:w="4710" w:type="dxa"/>
            <w:tcBorders>
              <w:top w:val="nil"/>
              <w:left w:val="single" w:sz="4" w:space="0" w:color="auto"/>
              <w:bottom w:val="single" w:sz="4" w:space="0" w:color="auto"/>
              <w:right w:val="single" w:sz="4" w:space="0" w:color="auto"/>
            </w:tcBorders>
            <w:shd w:val="clear" w:color="auto" w:fill="auto"/>
            <w:noWrap/>
            <w:vAlign w:val="center"/>
          </w:tcPr>
          <w:p w14:paraId="6E096127"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Broj evidentiranih lokaliteta legala komaraca</w:t>
            </w:r>
          </w:p>
        </w:tc>
        <w:tc>
          <w:tcPr>
            <w:tcW w:w="1079" w:type="dxa"/>
            <w:tcBorders>
              <w:top w:val="nil"/>
              <w:left w:val="nil"/>
              <w:bottom w:val="single" w:sz="4" w:space="0" w:color="auto"/>
              <w:right w:val="single" w:sz="4" w:space="0" w:color="auto"/>
            </w:tcBorders>
            <w:shd w:val="clear" w:color="auto" w:fill="auto"/>
            <w:noWrap/>
            <w:vAlign w:val="center"/>
          </w:tcPr>
          <w:p w14:paraId="78E11870"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330</w:t>
            </w:r>
          </w:p>
        </w:tc>
        <w:tc>
          <w:tcPr>
            <w:tcW w:w="1343" w:type="dxa"/>
            <w:tcBorders>
              <w:top w:val="nil"/>
              <w:left w:val="nil"/>
              <w:bottom w:val="single" w:sz="4" w:space="0" w:color="auto"/>
              <w:right w:val="single" w:sz="4" w:space="0" w:color="auto"/>
            </w:tcBorders>
            <w:shd w:val="clear" w:color="auto" w:fill="auto"/>
            <w:noWrap/>
            <w:vAlign w:val="center"/>
          </w:tcPr>
          <w:p w14:paraId="6E7389E1"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330</w:t>
            </w:r>
          </w:p>
        </w:tc>
        <w:tc>
          <w:tcPr>
            <w:tcW w:w="1842" w:type="dxa"/>
            <w:tcBorders>
              <w:top w:val="nil"/>
              <w:left w:val="nil"/>
              <w:bottom w:val="single" w:sz="4" w:space="0" w:color="auto"/>
              <w:right w:val="single" w:sz="4" w:space="0" w:color="auto"/>
            </w:tcBorders>
            <w:shd w:val="clear" w:color="auto" w:fill="auto"/>
            <w:noWrap/>
            <w:vAlign w:val="center"/>
          </w:tcPr>
          <w:p w14:paraId="617D6D0E"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650</w:t>
            </w:r>
          </w:p>
        </w:tc>
      </w:tr>
      <w:tr w:rsidR="00AA0281" w:rsidRPr="00C05B6F" w14:paraId="77042DF0" w14:textId="77777777" w:rsidTr="007B5AFD">
        <w:trPr>
          <w:trHeight w:val="570"/>
        </w:trPr>
        <w:tc>
          <w:tcPr>
            <w:tcW w:w="4710" w:type="dxa"/>
            <w:tcBorders>
              <w:top w:val="nil"/>
              <w:left w:val="single" w:sz="4" w:space="0" w:color="auto"/>
              <w:bottom w:val="single" w:sz="4" w:space="0" w:color="auto"/>
              <w:right w:val="single" w:sz="4" w:space="0" w:color="auto"/>
            </w:tcBorders>
            <w:shd w:val="clear" w:color="auto" w:fill="auto"/>
            <w:noWrap/>
            <w:vAlign w:val="center"/>
          </w:tcPr>
          <w:p w14:paraId="211BC226"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Broj promotivnih i edukativnih događanja </w:t>
            </w:r>
            <w:r w:rsidRPr="000D2CB2">
              <w:rPr>
                <w:rFonts w:ascii="Arial Narrow" w:hAnsi="Arial Narrow"/>
                <w:sz w:val="20"/>
                <w:szCs w:val="20"/>
              </w:rPr>
              <w:t xml:space="preserve">o komarcima </w:t>
            </w:r>
          </w:p>
        </w:tc>
        <w:tc>
          <w:tcPr>
            <w:tcW w:w="1079" w:type="dxa"/>
            <w:tcBorders>
              <w:top w:val="nil"/>
              <w:left w:val="nil"/>
              <w:bottom w:val="single" w:sz="4" w:space="0" w:color="auto"/>
              <w:right w:val="single" w:sz="4" w:space="0" w:color="auto"/>
            </w:tcBorders>
            <w:shd w:val="clear" w:color="auto" w:fill="auto"/>
            <w:noWrap/>
            <w:vAlign w:val="center"/>
          </w:tcPr>
          <w:p w14:paraId="40F3F336"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3</w:t>
            </w:r>
          </w:p>
        </w:tc>
        <w:tc>
          <w:tcPr>
            <w:tcW w:w="1343" w:type="dxa"/>
            <w:tcBorders>
              <w:top w:val="nil"/>
              <w:left w:val="nil"/>
              <w:bottom w:val="single" w:sz="4" w:space="0" w:color="auto"/>
              <w:right w:val="single" w:sz="4" w:space="0" w:color="auto"/>
            </w:tcBorders>
            <w:shd w:val="clear" w:color="auto" w:fill="auto"/>
            <w:noWrap/>
            <w:vAlign w:val="center"/>
          </w:tcPr>
          <w:p w14:paraId="69C63C6D"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3</w:t>
            </w:r>
          </w:p>
        </w:tc>
        <w:tc>
          <w:tcPr>
            <w:tcW w:w="1842" w:type="dxa"/>
            <w:tcBorders>
              <w:top w:val="nil"/>
              <w:left w:val="nil"/>
              <w:bottom w:val="single" w:sz="4" w:space="0" w:color="auto"/>
              <w:right w:val="single" w:sz="4" w:space="0" w:color="auto"/>
            </w:tcBorders>
            <w:shd w:val="clear" w:color="auto" w:fill="auto"/>
            <w:noWrap/>
            <w:vAlign w:val="center"/>
          </w:tcPr>
          <w:p w14:paraId="75090B52"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4</w:t>
            </w:r>
          </w:p>
        </w:tc>
      </w:tr>
      <w:bookmarkEnd w:id="4"/>
    </w:tbl>
    <w:p w14:paraId="766358C7" w14:textId="77777777" w:rsidR="00AA0281" w:rsidRPr="00F200B9" w:rsidRDefault="00AA0281" w:rsidP="00AA0281">
      <w:pPr>
        <w:tabs>
          <w:tab w:val="left" w:pos="708"/>
        </w:tabs>
        <w:rPr>
          <w:color w:val="FF0000"/>
        </w:rPr>
      </w:pPr>
    </w:p>
    <w:p w14:paraId="5C51CF97" w14:textId="77777777" w:rsidR="00AA0281" w:rsidRPr="007C3562" w:rsidRDefault="00AA0281" w:rsidP="00AA0281">
      <w:pPr>
        <w:rPr>
          <w:b/>
        </w:rPr>
      </w:pPr>
      <w:r w:rsidRPr="007C3562">
        <w:rPr>
          <w:b/>
        </w:rPr>
        <w:t>Izvještaj o postignutim ciljevima i rezultatima programa temeljenim na pokazateljima uspješnosti:</w:t>
      </w:r>
    </w:p>
    <w:p w14:paraId="4995B317" w14:textId="77777777" w:rsidR="00AA0281" w:rsidRPr="007C3562" w:rsidRDefault="00AA0281" w:rsidP="00AA0281">
      <w:pPr>
        <w:rPr>
          <w:color w:val="FF0000"/>
        </w:rPr>
      </w:pPr>
    </w:p>
    <w:p w14:paraId="0F044E07" w14:textId="77777777" w:rsidR="00AA0281" w:rsidRPr="007C3562" w:rsidRDefault="00AA0281" w:rsidP="00AA0281">
      <w:pPr>
        <w:ind w:left="-120"/>
        <w:jc w:val="both"/>
      </w:pPr>
      <w:r w:rsidRPr="007C3562">
        <w:rPr>
          <w:lang w:eastAsia="hr-HR"/>
        </w:rPr>
        <w:t xml:space="preserve">Monitoring legla komaraca provođen je tijekom cijele sezone pojavnosti komaraca. </w:t>
      </w:r>
      <w:r w:rsidRPr="007C3562">
        <w:t>Nakon izvida, pristupilo se popunjavanju baze podataka o leglima komaraca na području grada Pule, a zatim i s akcijama larvicidnog tretiranja.</w:t>
      </w:r>
      <w:r w:rsidRPr="007C3562">
        <w:rPr>
          <w:lang w:eastAsia="hr-HR"/>
        </w:rPr>
        <w:t xml:space="preserve"> Tijekom obilaska terena i popisivanja aktivnih legla komaraca stanovništvu su dijeljeni savjeti i upute kako smanjiti broj komaraca u svom okruženju. Akcije se redovito provode u razmacima od 3 do 4 tjedna i upotpunjuju se akcijama nakon zaprimljenih poziva. </w:t>
      </w:r>
      <w:r w:rsidRPr="007C3562">
        <w:t>Održana je edukacija građana putem edukativnih letaka i postera te štand na Portarati.</w:t>
      </w:r>
      <w:r w:rsidRPr="007C3562">
        <w:rPr>
          <w:lang w:eastAsia="hr-HR"/>
        </w:rPr>
        <w:t xml:space="preserve"> </w:t>
      </w:r>
      <w:r w:rsidRPr="007C3562">
        <w:t xml:space="preserve">Također, tijekom proljeća 2023. godine na raznim radio postajama govorilo se o važnosti suzbijanja komaraca. Prvi puta, na području grada Pule, provodi se pilot projekt s učenicima srednjih škola po principima Citizen Science, a pod nazivom „Monitoring komaraca“,  u koji je uključena srednja Ekonomskoj škola Pula. Učenici su sami postavljali i prikupljali ovipozicijske klopke na području grada Pule i pripadajućim periurbanim naseljima, čiji rezultati su uvršteni u obavezni Nacionalni monitoring praćenja invazivnih vrsta. Učenicima škole je održano predavanje o komarcima. Napravljen je kviz o komarcima dostupan na linku </w:t>
      </w:r>
      <w:hyperlink r:id="rId30" w:history="1">
        <w:r w:rsidRPr="007C3562">
          <w:rPr>
            <w:rStyle w:val="Hyperlink"/>
          </w:rPr>
          <w:t>www.bit.ly/3L28KCm</w:t>
        </w:r>
      </w:hyperlink>
      <w:r w:rsidRPr="007C3562">
        <w:t>, namijenjen svim građanima. Kviz su prije početka provođenja projekta rješavali učenici, a rješavat će ga i nakon završetka projekta.</w:t>
      </w:r>
    </w:p>
    <w:p w14:paraId="33321FC3" w14:textId="77777777" w:rsidR="00AA0281" w:rsidRPr="007C3562" w:rsidRDefault="00AA0281" w:rsidP="00AA0281">
      <w:pPr>
        <w:rPr>
          <w:color w:val="FF0000"/>
          <w:lang w:eastAsia="hr-HR"/>
        </w:rPr>
      </w:pPr>
    </w:p>
    <w:p w14:paraId="24F93EAE" w14:textId="77777777" w:rsidR="00AA0281" w:rsidRPr="007C3562" w:rsidRDefault="00AA0281" w:rsidP="00AA0281">
      <w:pPr>
        <w:rPr>
          <w:color w:val="FF0000"/>
          <w:lang w:eastAsia="hr-HR"/>
        </w:rPr>
      </w:pPr>
    </w:p>
    <w:p w14:paraId="2BE1A9C0" w14:textId="77777777" w:rsidR="00AA0281" w:rsidRPr="007C3562" w:rsidRDefault="00AA0281" w:rsidP="00AA0281">
      <w:pPr>
        <w:pStyle w:val="ListParagraph"/>
        <w:numPr>
          <w:ilvl w:val="1"/>
          <w:numId w:val="27"/>
        </w:numPr>
        <w:tabs>
          <w:tab w:val="left" w:pos="708"/>
        </w:tabs>
        <w:rPr>
          <w:b/>
          <w:bCs/>
        </w:rPr>
      </w:pPr>
      <w:r w:rsidRPr="007C3562">
        <w:rPr>
          <w:b/>
          <w:bCs/>
        </w:rPr>
        <w:t xml:space="preserve">AKTIVNOST: Revizija HACCP sustava u predškolskim ustanovama </w:t>
      </w:r>
    </w:p>
    <w:p w14:paraId="4ABDD2D0" w14:textId="77777777" w:rsidR="00AA0281" w:rsidRPr="007C3562" w:rsidRDefault="00AA0281" w:rsidP="00AA0281">
      <w:pPr>
        <w:tabs>
          <w:tab w:val="left" w:pos="708"/>
        </w:tabs>
      </w:pPr>
    </w:p>
    <w:p w14:paraId="6F4D56D1" w14:textId="77777777" w:rsidR="00AA0281" w:rsidRPr="007C3562" w:rsidRDefault="00AA0281" w:rsidP="00AA0281">
      <w:pPr>
        <w:pStyle w:val="ListParagraph"/>
        <w:numPr>
          <w:ilvl w:val="0"/>
          <w:numId w:val="29"/>
        </w:numPr>
        <w:tabs>
          <w:tab w:val="left" w:pos="708"/>
        </w:tabs>
        <w:jc w:val="both"/>
      </w:pPr>
      <w:r w:rsidRPr="007C3562">
        <w:rPr>
          <w:b/>
        </w:rPr>
        <w:t xml:space="preserve">Obrazloženje: </w:t>
      </w:r>
      <w:r w:rsidRPr="007C3562">
        <w:t>Provodit će se</w:t>
      </w:r>
      <w:r w:rsidRPr="007C3562">
        <w:rPr>
          <w:b/>
        </w:rPr>
        <w:t xml:space="preserve"> </w:t>
      </w:r>
      <w:r w:rsidRPr="007C3562">
        <w:t>aktivnosti obilaska objekata, pregleda postojeće dokumentacije HACCP sustava (po potrebi izrade nove/dodatne dokumentacije) i edukacije zaposlenika uključenih u provedbu sustava, prema dogovoru s odgovornim osobljem predškolskih i osnovnoškolskih ustanova. Provodit će se na osnovi financijskih sredstava koje osigurava Grad Pula.</w:t>
      </w:r>
    </w:p>
    <w:p w14:paraId="7523248E" w14:textId="77777777" w:rsidR="00AA0281" w:rsidRPr="007C3562" w:rsidRDefault="00AA0281" w:rsidP="00AA0281">
      <w:pPr>
        <w:rPr>
          <w:b/>
        </w:rPr>
      </w:pPr>
    </w:p>
    <w:p w14:paraId="603E4635" w14:textId="77777777" w:rsidR="00AA0281" w:rsidRDefault="00AA0281" w:rsidP="00AA0281">
      <w:pPr>
        <w:pStyle w:val="ListParagraph"/>
        <w:numPr>
          <w:ilvl w:val="0"/>
          <w:numId w:val="29"/>
        </w:numPr>
        <w:rPr>
          <w:b/>
        </w:rPr>
      </w:pPr>
      <w:r w:rsidRPr="007C3562">
        <w:rPr>
          <w:b/>
        </w:rPr>
        <w:lastRenderedPageBreak/>
        <w:t>Cilj uspješnosti</w:t>
      </w:r>
    </w:p>
    <w:p w14:paraId="791ECD61" w14:textId="77777777" w:rsidR="003A0824" w:rsidRPr="007C3562" w:rsidRDefault="003A0824" w:rsidP="003A0824">
      <w:pPr>
        <w:pStyle w:val="ListParagraph"/>
        <w:ind w:left="643"/>
        <w:rPr>
          <w:b/>
        </w:rPr>
      </w:pPr>
    </w:p>
    <w:tbl>
      <w:tblPr>
        <w:tblW w:w="9116" w:type="dxa"/>
        <w:tblInd w:w="93" w:type="dxa"/>
        <w:tblLook w:val="04A0" w:firstRow="1" w:lastRow="0" w:firstColumn="1" w:lastColumn="0" w:noHBand="0" w:noVBand="1"/>
      </w:tblPr>
      <w:tblGrid>
        <w:gridCol w:w="2860"/>
        <w:gridCol w:w="2380"/>
        <w:gridCol w:w="2380"/>
        <w:gridCol w:w="1496"/>
      </w:tblGrid>
      <w:tr w:rsidR="00AA0281" w:rsidRPr="00F85E5A" w14:paraId="26C58A8C" w14:textId="77777777" w:rsidTr="001B06BF">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4F107FD6"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705060A"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PLANIRANA SREDSTVA U PRORAČUNU ISTARSKE ŽUPANIJE</w:t>
            </w:r>
          </w:p>
        </w:tc>
      </w:tr>
      <w:tr w:rsidR="00AA0281" w:rsidRPr="00F85E5A" w14:paraId="3755F330" w14:textId="77777777" w:rsidTr="001B06BF">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0360D955" w14:textId="77777777" w:rsidR="00AA0281" w:rsidRPr="000E330E" w:rsidRDefault="00AA0281" w:rsidP="007B5AFD">
            <w:pPr>
              <w:rPr>
                <w:rFonts w:ascii="Arial Narrow" w:hAnsi="Arial Narrow" w:cs="Calibri"/>
                <w:b/>
                <w:bCs/>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357E3565"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45D34147"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547C159C" w14:textId="237B1E03"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B06BF" w:rsidRPr="000E330E">
              <w:rPr>
                <w:rFonts w:ascii="Arial Narrow" w:hAnsi="Arial Narrow" w:cs="Calibri"/>
                <w:b/>
                <w:bCs/>
                <w:sz w:val="18"/>
                <w:szCs w:val="18"/>
                <w:lang w:eastAsia="hr-HR"/>
              </w:rPr>
              <w:t>-OSIGURANA SREDSTVA U PRORAČUNU IŽ</w:t>
            </w:r>
          </w:p>
        </w:tc>
      </w:tr>
      <w:tr w:rsidR="00AA0281" w:rsidRPr="00F85E5A" w14:paraId="6797619B" w14:textId="77777777" w:rsidTr="001B06BF">
        <w:trPr>
          <w:trHeight w:val="1051"/>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75F5964"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1FF5532E"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2184DD4F"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A420714 Revizija HACCP sustava u predškolskim ustanovama i OŠ; </w:t>
            </w:r>
          </w:p>
        </w:tc>
        <w:tc>
          <w:tcPr>
            <w:tcW w:w="1496" w:type="dxa"/>
            <w:tcBorders>
              <w:top w:val="nil"/>
              <w:left w:val="single" w:sz="4" w:space="0" w:color="auto"/>
              <w:bottom w:val="single" w:sz="4" w:space="0" w:color="auto"/>
              <w:right w:val="single" w:sz="4" w:space="0" w:color="auto"/>
            </w:tcBorders>
            <w:shd w:val="clear" w:color="auto" w:fill="auto"/>
            <w:noWrap/>
            <w:vAlign w:val="center"/>
          </w:tcPr>
          <w:p w14:paraId="012AF220" w14:textId="77777777" w:rsidR="00AA0281" w:rsidRPr="000D2CB2" w:rsidRDefault="00AA0281" w:rsidP="007B5AFD">
            <w:pPr>
              <w:jc w:val="center"/>
              <w:rPr>
                <w:rFonts w:ascii="Arial Narrow" w:hAnsi="Arial Narrow" w:cs="Calibri"/>
                <w:sz w:val="20"/>
                <w:szCs w:val="20"/>
                <w:lang w:eastAsia="hr-HR"/>
              </w:rPr>
            </w:pPr>
            <w:r w:rsidRPr="000D2CB2">
              <w:rPr>
                <w:rFonts w:ascii="Arial Narrow" w:hAnsi="Arial Narrow" w:cs="Calibri"/>
                <w:sz w:val="20"/>
                <w:szCs w:val="20"/>
                <w:lang w:eastAsia="hr-HR"/>
              </w:rPr>
              <w:t>4.725,00 EUR</w:t>
            </w:r>
          </w:p>
        </w:tc>
      </w:tr>
    </w:tbl>
    <w:p w14:paraId="3588690D" w14:textId="77777777" w:rsidR="00AA0281" w:rsidRDefault="00AA0281" w:rsidP="00AA0281"/>
    <w:p w14:paraId="5289AB8E" w14:textId="77777777" w:rsidR="003A0824" w:rsidRDefault="003A0824" w:rsidP="00AA0281"/>
    <w:p w14:paraId="4D32F2AF" w14:textId="41495544" w:rsidR="00AA0281" w:rsidRDefault="00C938DD" w:rsidP="00C938DD">
      <w:pPr>
        <w:pStyle w:val="ListParagraph"/>
        <w:numPr>
          <w:ilvl w:val="0"/>
          <w:numId w:val="29"/>
        </w:numPr>
        <w:rPr>
          <w:b/>
        </w:rPr>
      </w:pPr>
      <w:r w:rsidRPr="00C938DD">
        <w:rPr>
          <w:b/>
        </w:rPr>
        <w:t xml:space="preserve"> </w:t>
      </w:r>
      <w:r w:rsidR="00AA0281" w:rsidRPr="00C938DD">
        <w:rPr>
          <w:b/>
        </w:rPr>
        <w:t>Pokazatelji uspješnosti</w:t>
      </w:r>
    </w:p>
    <w:p w14:paraId="2DB9F8C7" w14:textId="77777777" w:rsidR="003A0824" w:rsidRPr="00C938DD" w:rsidRDefault="003A0824" w:rsidP="003A0824">
      <w:pPr>
        <w:pStyle w:val="ListParagraph"/>
        <w:ind w:left="643"/>
        <w:rPr>
          <w:b/>
        </w:rPr>
      </w:pPr>
    </w:p>
    <w:tbl>
      <w:tblPr>
        <w:tblW w:w="8549" w:type="dxa"/>
        <w:tblInd w:w="93" w:type="dxa"/>
        <w:tblLook w:val="04A0" w:firstRow="1" w:lastRow="0" w:firstColumn="1" w:lastColumn="0" w:noHBand="0" w:noVBand="1"/>
      </w:tblPr>
      <w:tblGrid>
        <w:gridCol w:w="4013"/>
        <w:gridCol w:w="1559"/>
        <w:gridCol w:w="1134"/>
        <w:gridCol w:w="1843"/>
      </w:tblGrid>
      <w:tr w:rsidR="00AA0281" w:rsidRPr="000D2CB2" w14:paraId="1018E1A1" w14:textId="77777777" w:rsidTr="007B5AFD">
        <w:trPr>
          <w:trHeight w:val="480"/>
        </w:trPr>
        <w:tc>
          <w:tcPr>
            <w:tcW w:w="4013" w:type="dxa"/>
            <w:tcBorders>
              <w:top w:val="single" w:sz="4" w:space="0" w:color="auto"/>
              <w:left w:val="single" w:sz="4" w:space="0" w:color="auto"/>
              <w:bottom w:val="single" w:sz="4" w:space="0" w:color="auto"/>
              <w:right w:val="nil"/>
            </w:tcBorders>
            <w:shd w:val="clear" w:color="000000" w:fill="F2F2F2"/>
            <w:vAlign w:val="center"/>
            <w:hideMark/>
          </w:tcPr>
          <w:p w14:paraId="0FBBBB4D"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0D2675"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038913CD"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3CC942EA"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0D2CB2" w14:paraId="07C7F0ED" w14:textId="77777777" w:rsidTr="007B5AFD">
        <w:trPr>
          <w:trHeight w:val="570"/>
        </w:trPr>
        <w:tc>
          <w:tcPr>
            <w:tcW w:w="4013" w:type="dxa"/>
            <w:tcBorders>
              <w:top w:val="nil"/>
              <w:left w:val="single" w:sz="4" w:space="0" w:color="auto"/>
              <w:bottom w:val="single" w:sz="4" w:space="0" w:color="auto"/>
              <w:right w:val="single" w:sz="4" w:space="0" w:color="auto"/>
            </w:tcBorders>
            <w:shd w:val="clear" w:color="auto" w:fill="auto"/>
            <w:noWrap/>
            <w:vAlign w:val="center"/>
          </w:tcPr>
          <w:p w14:paraId="25949011"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Broj obuhvaćenih ustanova</w:t>
            </w:r>
          </w:p>
        </w:tc>
        <w:tc>
          <w:tcPr>
            <w:tcW w:w="1559" w:type="dxa"/>
            <w:tcBorders>
              <w:top w:val="nil"/>
              <w:left w:val="nil"/>
              <w:bottom w:val="single" w:sz="4" w:space="0" w:color="auto"/>
              <w:right w:val="single" w:sz="4" w:space="0" w:color="auto"/>
            </w:tcBorders>
            <w:shd w:val="clear" w:color="auto" w:fill="auto"/>
            <w:noWrap/>
            <w:vAlign w:val="center"/>
          </w:tcPr>
          <w:p w14:paraId="4F67A6F4"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15</w:t>
            </w:r>
          </w:p>
        </w:tc>
        <w:tc>
          <w:tcPr>
            <w:tcW w:w="1134" w:type="dxa"/>
            <w:tcBorders>
              <w:top w:val="nil"/>
              <w:left w:val="nil"/>
              <w:bottom w:val="single" w:sz="4" w:space="0" w:color="auto"/>
              <w:right w:val="single" w:sz="4" w:space="0" w:color="auto"/>
            </w:tcBorders>
            <w:shd w:val="clear" w:color="auto" w:fill="auto"/>
            <w:noWrap/>
            <w:vAlign w:val="center"/>
          </w:tcPr>
          <w:p w14:paraId="567CC31E"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15</w:t>
            </w:r>
          </w:p>
        </w:tc>
        <w:tc>
          <w:tcPr>
            <w:tcW w:w="1843" w:type="dxa"/>
            <w:tcBorders>
              <w:top w:val="nil"/>
              <w:left w:val="nil"/>
              <w:bottom w:val="single" w:sz="4" w:space="0" w:color="auto"/>
              <w:right w:val="single" w:sz="4" w:space="0" w:color="auto"/>
            </w:tcBorders>
            <w:shd w:val="clear" w:color="auto" w:fill="auto"/>
            <w:noWrap/>
            <w:vAlign w:val="center"/>
          </w:tcPr>
          <w:p w14:paraId="0B5645FF"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15</w:t>
            </w:r>
          </w:p>
        </w:tc>
      </w:tr>
    </w:tbl>
    <w:p w14:paraId="1C726ACC" w14:textId="77777777" w:rsidR="00AA0281" w:rsidRDefault="00AA0281" w:rsidP="00AA0281">
      <w:pPr>
        <w:rPr>
          <w:rFonts w:ascii="Arial" w:hAnsi="Arial"/>
          <w:b/>
        </w:rPr>
      </w:pPr>
    </w:p>
    <w:p w14:paraId="6C77DE83" w14:textId="77777777" w:rsidR="00AA0281" w:rsidRPr="007C3562" w:rsidRDefault="00AA0281" w:rsidP="00AA0281">
      <w:pPr>
        <w:rPr>
          <w:b/>
        </w:rPr>
      </w:pPr>
      <w:r w:rsidRPr="007C3562">
        <w:rPr>
          <w:b/>
        </w:rPr>
        <w:t>Izvještaj o postignutim ciljevima i rezultatima programa temeljenim na pokazateljima uspješnosti:</w:t>
      </w:r>
    </w:p>
    <w:p w14:paraId="4DA02F97" w14:textId="77777777" w:rsidR="00AA0281" w:rsidRPr="007C3562" w:rsidRDefault="00AA0281" w:rsidP="00AA0281">
      <w:pPr>
        <w:rPr>
          <w:color w:val="FF0000"/>
        </w:rPr>
      </w:pPr>
      <w:r w:rsidRPr="007C3562">
        <w:t>Planirane aktivnosti obilaska objekata, pregleda postojeće dokumentacije HACCP sustava i izrade nove ili dodatne dokumentacije, kao i edukacija zaposlenika uključenih u provedbu sustava, obavljene su u dogovoru s odgovornim osobljem predškolskih i osnovnoškolskih ustanova.</w:t>
      </w:r>
    </w:p>
    <w:p w14:paraId="154E9231" w14:textId="77777777" w:rsidR="00AA0281" w:rsidRDefault="00AA0281" w:rsidP="00AA0281">
      <w:pPr>
        <w:rPr>
          <w:color w:val="FF0000"/>
        </w:rPr>
      </w:pPr>
    </w:p>
    <w:p w14:paraId="06874872" w14:textId="77777777" w:rsidR="003A0824" w:rsidRPr="007C3562" w:rsidRDefault="003A0824" w:rsidP="00AA0281">
      <w:pPr>
        <w:rPr>
          <w:color w:val="FF0000"/>
        </w:rPr>
      </w:pPr>
    </w:p>
    <w:p w14:paraId="024B2F95" w14:textId="77777777" w:rsidR="00AA0281" w:rsidRPr="007C3562" w:rsidRDefault="00AA0281" w:rsidP="00AA0281">
      <w:pPr>
        <w:pStyle w:val="ListParagraph"/>
        <w:numPr>
          <w:ilvl w:val="1"/>
          <w:numId w:val="27"/>
        </w:numPr>
        <w:rPr>
          <w:b/>
          <w:bCs/>
        </w:rPr>
      </w:pPr>
      <w:r w:rsidRPr="007C3562">
        <w:rPr>
          <w:b/>
          <w:bCs/>
        </w:rPr>
        <w:t xml:space="preserve">AKTIVNOST: Program praćenja kvalitete zraka </w:t>
      </w:r>
    </w:p>
    <w:p w14:paraId="196D0913" w14:textId="77777777" w:rsidR="00AA0281" w:rsidRPr="007C3562" w:rsidRDefault="00AA0281" w:rsidP="00AA0281"/>
    <w:p w14:paraId="0701DC40" w14:textId="77777777" w:rsidR="00AA0281" w:rsidRPr="007C3562" w:rsidRDefault="00AA0281" w:rsidP="00AA0281">
      <w:pPr>
        <w:pStyle w:val="ListParagraph"/>
        <w:numPr>
          <w:ilvl w:val="0"/>
          <w:numId w:val="29"/>
        </w:numPr>
        <w:jc w:val="both"/>
      </w:pPr>
      <w:r w:rsidRPr="007C3562">
        <w:rPr>
          <w:b/>
          <w:color w:val="000000"/>
        </w:rPr>
        <w:t xml:space="preserve">Obrazloženje: </w:t>
      </w:r>
      <w:r w:rsidRPr="007C3562">
        <w:t>U skladu sa Zakonom o zaštiti zraka (NN 127/19, 57/22) i Pravilnikom o praćenju kvalitete zraka (NN 72/20), Uredbom o razini onečišćujućih tvari u zraku (NN 77/20) i Pravilnikom o uzajamnoj razmjeni informacija i izvješćivanju o kvaliteti zraka i obvezama za provedbu Odluke Komisije 2011 (NN 3/16)  provodit će se program praćenja kvalitete zraka u 2021. godini. Provodit će se na tri klasične i deset</w:t>
      </w:r>
      <w:r w:rsidRPr="007C3562">
        <w:rPr>
          <w:color w:val="FF0000"/>
        </w:rPr>
        <w:t xml:space="preserve"> </w:t>
      </w:r>
      <w:r w:rsidRPr="007C3562">
        <w:t>automatskih postaja, prijenos i obrada podataka te izrada izvješća. Također će se provoditi praćenje vrsta i koncentracija peludi u zraku na području grada Pule, Pazina, Labina i Poreča. Dobiveni podaci objavljivat će se na web stranici Zavoda i dostavljati u Referentni centar dr. Andrija Štampar u Zagrebu i u Europsku alergološku mrežu. Krajem provedenih mjerenja izradit će se izvješće i peludni kalendar.</w:t>
      </w:r>
    </w:p>
    <w:p w14:paraId="6D6B2C29" w14:textId="77777777" w:rsidR="00AA0281" w:rsidRDefault="00AA0281" w:rsidP="00AA0281">
      <w:pPr>
        <w:rPr>
          <w:b/>
        </w:rPr>
      </w:pPr>
    </w:p>
    <w:p w14:paraId="1A57DDC2" w14:textId="77777777" w:rsidR="003A0824" w:rsidRDefault="003A0824">
      <w:pPr>
        <w:spacing w:after="160" w:line="259" w:lineRule="auto"/>
        <w:rPr>
          <w:b/>
        </w:rPr>
      </w:pPr>
      <w:r>
        <w:rPr>
          <w:b/>
        </w:rPr>
        <w:br w:type="page"/>
      </w:r>
    </w:p>
    <w:p w14:paraId="438A017A" w14:textId="0EF2F96F" w:rsidR="00AA0281" w:rsidRPr="007C3562" w:rsidRDefault="00AA0281" w:rsidP="00AA0281">
      <w:pPr>
        <w:pStyle w:val="ListParagraph"/>
        <w:numPr>
          <w:ilvl w:val="0"/>
          <w:numId w:val="29"/>
        </w:numPr>
        <w:rPr>
          <w:b/>
        </w:rPr>
      </w:pPr>
      <w:r w:rsidRPr="007C3562">
        <w:rPr>
          <w:b/>
        </w:rPr>
        <w:lastRenderedPageBreak/>
        <w:t>Cilj uspješnosti</w:t>
      </w:r>
    </w:p>
    <w:p w14:paraId="20678468" w14:textId="77777777" w:rsidR="00AA0281" w:rsidRPr="007050B2" w:rsidRDefault="00AA0281" w:rsidP="00AA0281">
      <w:pPr>
        <w:rPr>
          <w:rFonts w:cs="Arial"/>
          <w:b/>
        </w:rPr>
      </w:pPr>
    </w:p>
    <w:tbl>
      <w:tblPr>
        <w:tblW w:w="9116" w:type="dxa"/>
        <w:tblInd w:w="93" w:type="dxa"/>
        <w:tblLook w:val="04A0" w:firstRow="1" w:lastRow="0" w:firstColumn="1" w:lastColumn="0" w:noHBand="0" w:noVBand="1"/>
      </w:tblPr>
      <w:tblGrid>
        <w:gridCol w:w="2860"/>
        <w:gridCol w:w="2380"/>
        <w:gridCol w:w="2380"/>
        <w:gridCol w:w="1496"/>
      </w:tblGrid>
      <w:tr w:rsidR="00AA0281" w:rsidRPr="00C2138A" w14:paraId="7533AD97" w14:textId="77777777" w:rsidTr="001B06BF">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3E4F5084"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3D09D6A"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7B6086B9" w14:textId="77777777" w:rsidTr="001B06BF">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5A978200"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0163157E"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513C2DEE"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0CBAF548" w14:textId="7F6B2975"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B06BF" w:rsidRPr="000E330E">
              <w:rPr>
                <w:rFonts w:ascii="Arial Narrow" w:hAnsi="Arial Narrow" w:cs="Calibri"/>
                <w:b/>
                <w:bCs/>
                <w:sz w:val="18"/>
                <w:szCs w:val="18"/>
                <w:lang w:eastAsia="hr-HR"/>
              </w:rPr>
              <w:t>-OSIGURANA SREDSTVA U PRORAČUNU IŽ</w:t>
            </w:r>
          </w:p>
        </w:tc>
      </w:tr>
      <w:tr w:rsidR="00AA0281" w:rsidRPr="00F63258" w14:paraId="3889035C" w14:textId="77777777" w:rsidTr="001B06BF">
        <w:trPr>
          <w:trHeight w:val="785"/>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11D508E"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1CA8406A"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7DBBDA67"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A420715 Praćenje kakvoće zraka; </w:t>
            </w:r>
          </w:p>
        </w:tc>
        <w:tc>
          <w:tcPr>
            <w:tcW w:w="1496" w:type="dxa"/>
            <w:tcBorders>
              <w:top w:val="nil"/>
              <w:left w:val="single" w:sz="4" w:space="0" w:color="auto"/>
              <w:bottom w:val="single" w:sz="4" w:space="0" w:color="auto"/>
              <w:right w:val="single" w:sz="4" w:space="0" w:color="auto"/>
            </w:tcBorders>
            <w:shd w:val="clear" w:color="auto" w:fill="auto"/>
            <w:noWrap/>
            <w:vAlign w:val="center"/>
          </w:tcPr>
          <w:p w14:paraId="2AB68E97" w14:textId="77777777" w:rsidR="00AA0281" w:rsidRPr="000D2CB2" w:rsidRDefault="00AA0281" w:rsidP="007B5AFD">
            <w:pPr>
              <w:jc w:val="center"/>
              <w:rPr>
                <w:rFonts w:ascii="Arial Narrow" w:hAnsi="Arial Narrow" w:cs="Calibri"/>
                <w:sz w:val="20"/>
                <w:szCs w:val="20"/>
                <w:lang w:eastAsia="hr-HR"/>
              </w:rPr>
            </w:pPr>
            <w:r w:rsidRPr="000D2CB2">
              <w:rPr>
                <w:rFonts w:ascii="Arial Narrow" w:hAnsi="Arial Narrow" w:cs="Calibri"/>
                <w:sz w:val="20"/>
                <w:szCs w:val="20"/>
                <w:lang w:eastAsia="hr-HR"/>
              </w:rPr>
              <w:t>105.554,00 EUR</w:t>
            </w:r>
          </w:p>
        </w:tc>
      </w:tr>
    </w:tbl>
    <w:p w14:paraId="7B52A55A" w14:textId="77777777" w:rsidR="00AA0281" w:rsidRDefault="00AA0281" w:rsidP="00AA0281"/>
    <w:p w14:paraId="37E32B6D" w14:textId="77777777" w:rsidR="003A0824" w:rsidRDefault="003A0824" w:rsidP="00AA0281"/>
    <w:p w14:paraId="2C9E7218" w14:textId="77777777" w:rsidR="00AA0281" w:rsidRPr="007C3562" w:rsidRDefault="00AA0281" w:rsidP="00AA0281">
      <w:pPr>
        <w:pStyle w:val="ListParagraph"/>
        <w:numPr>
          <w:ilvl w:val="0"/>
          <w:numId w:val="28"/>
        </w:numPr>
        <w:rPr>
          <w:b/>
        </w:rPr>
      </w:pPr>
      <w:bookmarkStart w:id="5" w:name="_Hlk160531156"/>
      <w:r w:rsidRPr="007C3562">
        <w:rPr>
          <w:b/>
        </w:rPr>
        <w:t>Pokazatelji uspješnosti</w:t>
      </w:r>
    </w:p>
    <w:p w14:paraId="558BDB0F" w14:textId="77777777" w:rsidR="00AA0281" w:rsidRPr="004E092F" w:rsidRDefault="00AA0281" w:rsidP="00AA0281">
      <w:pPr>
        <w:rPr>
          <w:rFonts w:cs="Arial"/>
          <w:b/>
        </w:rPr>
      </w:pPr>
    </w:p>
    <w:tbl>
      <w:tblPr>
        <w:tblW w:w="8920" w:type="dxa"/>
        <w:tblInd w:w="93" w:type="dxa"/>
        <w:tblLook w:val="04A0" w:firstRow="1" w:lastRow="0" w:firstColumn="1" w:lastColumn="0" w:noHBand="0" w:noVBand="1"/>
      </w:tblPr>
      <w:tblGrid>
        <w:gridCol w:w="4864"/>
        <w:gridCol w:w="1134"/>
        <w:gridCol w:w="1079"/>
        <w:gridCol w:w="1843"/>
      </w:tblGrid>
      <w:tr w:rsidR="00AA0281" w:rsidRPr="00C2138A" w14:paraId="444E3907" w14:textId="77777777" w:rsidTr="007B5AFD">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715FAE34"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AB0656"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021EFE6B"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7A12F502"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C15CF2" w14:paraId="12E91519" w14:textId="77777777" w:rsidTr="007B5AFD">
        <w:trPr>
          <w:trHeight w:val="570"/>
        </w:trPr>
        <w:tc>
          <w:tcPr>
            <w:tcW w:w="4864" w:type="dxa"/>
            <w:tcBorders>
              <w:top w:val="nil"/>
              <w:left w:val="single" w:sz="4" w:space="0" w:color="auto"/>
              <w:bottom w:val="single" w:sz="4" w:space="0" w:color="auto"/>
              <w:right w:val="single" w:sz="4" w:space="0" w:color="auto"/>
            </w:tcBorders>
            <w:shd w:val="clear" w:color="auto" w:fill="auto"/>
            <w:noWrap/>
            <w:vAlign w:val="center"/>
            <w:hideMark/>
          </w:tcPr>
          <w:p w14:paraId="07EE904C" w14:textId="77777777" w:rsidR="00AA0281" w:rsidRPr="000D2CB2" w:rsidRDefault="00AA0281" w:rsidP="007B5AFD">
            <w:pPr>
              <w:rPr>
                <w:rFonts w:ascii="Arial Narrow" w:hAnsi="Arial Narrow" w:cs="Calibri"/>
                <w:b/>
                <w:bCs/>
                <w:sz w:val="20"/>
                <w:szCs w:val="20"/>
                <w:lang w:eastAsia="hr-HR"/>
              </w:rPr>
            </w:pPr>
            <w:r w:rsidRPr="000D2CB2">
              <w:rPr>
                <w:rFonts w:ascii="Arial Narrow" w:hAnsi="Arial Narrow" w:cs="Calibri"/>
                <w:bCs/>
                <w:sz w:val="20"/>
                <w:szCs w:val="20"/>
                <w:lang w:eastAsia="hr-HR"/>
              </w:rPr>
              <w:t>Broj mjernih mjesta / parametara ispitivanja zraka</w:t>
            </w:r>
          </w:p>
        </w:tc>
        <w:tc>
          <w:tcPr>
            <w:tcW w:w="1134" w:type="dxa"/>
            <w:tcBorders>
              <w:top w:val="nil"/>
              <w:left w:val="nil"/>
              <w:bottom w:val="single" w:sz="4" w:space="0" w:color="auto"/>
              <w:right w:val="single" w:sz="4" w:space="0" w:color="auto"/>
            </w:tcBorders>
            <w:shd w:val="clear" w:color="auto" w:fill="auto"/>
            <w:noWrap/>
            <w:vAlign w:val="center"/>
          </w:tcPr>
          <w:p w14:paraId="66226369"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13 /41</w:t>
            </w:r>
          </w:p>
        </w:tc>
        <w:tc>
          <w:tcPr>
            <w:tcW w:w="1079" w:type="dxa"/>
            <w:tcBorders>
              <w:top w:val="nil"/>
              <w:left w:val="nil"/>
              <w:bottom w:val="single" w:sz="4" w:space="0" w:color="auto"/>
              <w:right w:val="single" w:sz="4" w:space="0" w:color="auto"/>
            </w:tcBorders>
            <w:shd w:val="clear" w:color="auto" w:fill="auto"/>
            <w:noWrap/>
            <w:vAlign w:val="center"/>
          </w:tcPr>
          <w:p w14:paraId="504CAF00"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18 /46</w:t>
            </w:r>
          </w:p>
        </w:tc>
        <w:tc>
          <w:tcPr>
            <w:tcW w:w="1843" w:type="dxa"/>
            <w:tcBorders>
              <w:top w:val="nil"/>
              <w:left w:val="nil"/>
              <w:bottom w:val="single" w:sz="4" w:space="0" w:color="auto"/>
              <w:right w:val="single" w:sz="4" w:space="0" w:color="auto"/>
            </w:tcBorders>
            <w:shd w:val="clear" w:color="auto" w:fill="auto"/>
            <w:noWrap/>
            <w:vAlign w:val="center"/>
          </w:tcPr>
          <w:p w14:paraId="28E27682"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18 /46</w:t>
            </w:r>
          </w:p>
        </w:tc>
      </w:tr>
      <w:tr w:rsidR="00AA0281" w:rsidRPr="00267DF4" w14:paraId="07862D2C"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B1895" w14:textId="77777777" w:rsidR="00AA0281" w:rsidRPr="000D2CB2" w:rsidRDefault="00AA0281" w:rsidP="007B5AFD">
            <w:pPr>
              <w:rPr>
                <w:rFonts w:ascii="Arial Narrow" w:hAnsi="Arial Narrow" w:cs="Calibri"/>
                <w:bCs/>
                <w:sz w:val="20"/>
                <w:szCs w:val="20"/>
                <w:lang w:eastAsia="hr-HR"/>
              </w:rPr>
            </w:pPr>
            <w:r w:rsidRPr="000D2CB2">
              <w:rPr>
                <w:rFonts w:ascii="Arial Narrow" w:hAnsi="Arial Narrow" w:cs="Calibri"/>
                <w:bCs/>
                <w:sz w:val="20"/>
                <w:szCs w:val="20"/>
                <w:lang w:eastAsia="hr-HR"/>
              </w:rPr>
              <w:t>Broj uzorkovanja peludi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4ABDF4"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1.460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206631D4"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1.460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9252FB"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1.464</w:t>
            </w:r>
          </w:p>
        </w:tc>
      </w:tr>
      <w:bookmarkEnd w:id="5"/>
    </w:tbl>
    <w:p w14:paraId="417F9720" w14:textId="77777777" w:rsidR="00AA0281" w:rsidRDefault="00AA0281" w:rsidP="00AA0281">
      <w:pPr>
        <w:rPr>
          <w:rFonts w:ascii="Arial" w:hAnsi="Arial"/>
          <w:b/>
        </w:rPr>
      </w:pPr>
    </w:p>
    <w:p w14:paraId="329F4D5B" w14:textId="77777777" w:rsidR="00AA0281" w:rsidRPr="007C3562" w:rsidRDefault="00AA0281" w:rsidP="00AA0281">
      <w:pPr>
        <w:rPr>
          <w:b/>
        </w:rPr>
      </w:pPr>
      <w:r w:rsidRPr="007C3562">
        <w:rPr>
          <w:b/>
        </w:rPr>
        <w:t>Izvještaj o postignutim ciljevima i rezultatima programa temeljenim na pokazateljima uspješnosti:</w:t>
      </w:r>
    </w:p>
    <w:p w14:paraId="246758E7" w14:textId="77777777" w:rsidR="00AA0281" w:rsidRPr="007C3562" w:rsidRDefault="00AA0281" w:rsidP="00AA0281">
      <w:pPr>
        <w:tabs>
          <w:tab w:val="left" w:pos="993"/>
          <w:tab w:val="left" w:pos="3402"/>
          <w:tab w:val="center" w:pos="7371"/>
        </w:tabs>
        <w:suppressAutoHyphens/>
        <w:autoSpaceDE w:val="0"/>
        <w:jc w:val="both"/>
        <w:rPr>
          <w:color w:val="FF0000"/>
        </w:rPr>
      </w:pPr>
      <w:r w:rsidRPr="007C3562">
        <w:rPr>
          <w:color w:val="FF0000"/>
        </w:rPr>
        <w:t xml:space="preserve"> </w:t>
      </w:r>
    </w:p>
    <w:p w14:paraId="2BCA5C47" w14:textId="77777777" w:rsidR="00AA0281" w:rsidRPr="007C3562" w:rsidRDefault="00AA0281" w:rsidP="00AA0281">
      <w:pPr>
        <w:tabs>
          <w:tab w:val="left" w:pos="993"/>
          <w:tab w:val="left" w:pos="3402"/>
          <w:tab w:val="center" w:pos="7371"/>
        </w:tabs>
        <w:suppressAutoHyphens/>
        <w:autoSpaceDE w:val="0"/>
        <w:jc w:val="both"/>
        <w:rPr>
          <w:rFonts w:eastAsia="BatangChe"/>
        </w:rPr>
      </w:pPr>
      <w:r w:rsidRPr="007C3562">
        <w:t>Obrađeni su podaci mjerenja i uzorkovanja kvalitete zraka na tri klasične postaje: Pula -Rakovčeva ulica, Pula - Veli Vrh i Koromačno te tri stanice za određivanje ukupne taložne tvari; održavana je automatska postaja AP Holcim-Brovinje, rezultati mjerenja se prikupljaju i obrađuju; kontinuirano se prikupljaju podaci s automatskih postaja mjerne mreže Rockwool i TE Plomin; prati se situacija i rezultati mjerenja na AP Kaštijun, AP Višnjan i AP Fižela;   redovito se uzorkuje i analizira koncentracija alergene peludi u zraku na četiri postaje (Pula, Pazin, Labin i Poreč) te se ažurira peludna prognoza. U proteklom razdoblju nije bilo prekoračenja pragova obavješćivanja i pragova upozorenja u pojedinačnim uzorcima zraka.</w:t>
      </w:r>
      <w:r w:rsidRPr="007C3562">
        <w:rPr>
          <w:rFonts w:eastAsia="BatangChe"/>
        </w:rPr>
        <w:t xml:space="preserve"> </w:t>
      </w:r>
    </w:p>
    <w:p w14:paraId="33D585AC" w14:textId="77777777" w:rsidR="00AA0281" w:rsidRDefault="00AA0281" w:rsidP="00AA0281">
      <w:pPr>
        <w:tabs>
          <w:tab w:val="left" w:pos="993"/>
          <w:tab w:val="left" w:pos="3402"/>
          <w:tab w:val="center" w:pos="7371"/>
        </w:tabs>
        <w:suppressAutoHyphens/>
        <w:autoSpaceDE w:val="0"/>
        <w:jc w:val="both"/>
        <w:rPr>
          <w:rFonts w:eastAsia="BatangChe"/>
          <w:color w:val="FF0000"/>
        </w:rPr>
      </w:pPr>
    </w:p>
    <w:p w14:paraId="1BAFCEEE" w14:textId="77777777" w:rsidR="000157DD" w:rsidRDefault="000157DD" w:rsidP="00AA0281">
      <w:pPr>
        <w:tabs>
          <w:tab w:val="left" w:pos="993"/>
          <w:tab w:val="left" w:pos="3402"/>
          <w:tab w:val="center" w:pos="7371"/>
        </w:tabs>
        <w:suppressAutoHyphens/>
        <w:autoSpaceDE w:val="0"/>
        <w:jc w:val="both"/>
        <w:rPr>
          <w:rFonts w:eastAsia="BatangChe"/>
          <w:color w:val="FF0000"/>
        </w:rPr>
      </w:pPr>
    </w:p>
    <w:p w14:paraId="79C6CC97" w14:textId="77777777" w:rsidR="00F74977" w:rsidRPr="007C3562" w:rsidRDefault="00F74977" w:rsidP="00AA0281">
      <w:pPr>
        <w:tabs>
          <w:tab w:val="left" w:pos="993"/>
          <w:tab w:val="left" w:pos="3402"/>
          <w:tab w:val="center" w:pos="7371"/>
        </w:tabs>
        <w:suppressAutoHyphens/>
        <w:autoSpaceDE w:val="0"/>
        <w:jc w:val="both"/>
        <w:rPr>
          <w:rFonts w:eastAsia="BatangChe"/>
          <w:color w:val="FF0000"/>
        </w:rPr>
      </w:pPr>
    </w:p>
    <w:p w14:paraId="2175DE25" w14:textId="77777777" w:rsidR="00AA0281" w:rsidRPr="007C3562" w:rsidRDefault="00AA0281" w:rsidP="00AA0281">
      <w:pPr>
        <w:pStyle w:val="ListParagraph"/>
        <w:numPr>
          <w:ilvl w:val="1"/>
          <w:numId w:val="27"/>
        </w:numPr>
        <w:rPr>
          <w:b/>
          <w:bCs/>
        </w:rPr>
      </w:pPr>
      <w:r w:rsidRPr="007C3562">
        <w:rPr>
          <w:b/>
          <w:bCs/>
        </w:rPr>
        <w:t xml:space="preserve">AKTIVNOST: Praćenje razine buke okoliša u IŽ </w:t>
      </w:r>
    </w:p>
    <w:p w14:paraId="141C6A09" w14:textId="77777777" w:rsidR="00AA0281" w:rsidRPr="007C3562" w:rsidRDefault="00AA0281" w:rsidP="00AA0281"/>
    <w:p w14:paraId="211C9651" w14:textId="77777777" w:rsidR="00AA0281" w:rsidRPr="007C3562" w:rsidRDefault="00AA0281" w:rsidP="00AA0281">
      <w:pPr>
        <w:pStyle w:val="ListParagraph"/>
        <w:numPr>
          <w:ilvl w:val="0"/>
          <w:numId w:val="33"/>
        </w:numPr>
        <w:jc w:val="both"/>
      </w:pPr>
      <w:r w:rsidRPr="007C3562">
        <w:rPr>
          <w:b/>
          <w:color w:val="000000"/>
        </w:rPr>
        <w:t xml:space="preserve">Obrazloženje: </w:t>
      </w:r>
      <w:r w:rsidRPr="007C3562">
        <w:t xml:space="preserve">Sukladno </w:t>
      </w:r>
      <w:r w:rsidRPr="007C3562">
        <w:rPr>
          <w:bCs/>
        </w:rPr>
        <w:t>Pravilniku o najvišim dopuštenim razinama buke s obzirom na vrstu izvora buke, vrijeme i mjesto nastanka (NN 143/2021</w:t>
      </w:r>
      <w:r w:rsidRPr="007C3562">
        <w:t>) nastavit će se sustavno praćenje razine buke na pretpostavljenim kritičnim točkama uz odabrane glavne prometnice, industrijske zone odnosno na referentnim mjestima s namjerom da se dođe do točnih  podataka o razinama okolišne buke. Mjerenjem će biti obuhvaćeno 6 gradova (Pula, Pazin, Rovinj, Poreč, Umag, Labin) u svakom gradu odredit će se po 3 mjerna mjesta, koja se nalaze u stambenim zonama. Provodit će se 24 satna kontinuirana mjerenja u dva perioda (ljeto-jesen), uz paralelno praćenje parametra prometa (frekvencija putničkih vozila, motocikala, teretnih vozila i autobusa).</w:t>
      </w:r>
    </w:p>
    <w:p w14:paraId="0957BFD0" w14:textId="77777777" w:rsidR="000157DD" w:rsidRPr="007C3562" w:rsidRDefault="000157DD" w:rsidP="00AA0281">
      <w:pPr>
        <w:tabs>
          <w:tab w:val="left" w:pos="993"/>
          <w:tab w:val="center" w:pos="1843"/>
          <w:tab w:val="center" w:pos="6804"/>
          <w:tab w:val="right" w:pos="8647"/>
        </w:tabs>
        <w:jc w:val="both"/>
        <w:rPr>
          <w:color w:val="FF0000"/>
        </w:rPr>
      </w:pPr>
    </w:p>
    <w:p w14:paraId="75B69CE7" w14:textId="77777777" w:rsidR="003A0824" w:rsidRDefault="003A0824">
      <w:pPr>
        <w:spacing w:after="160" w:line="259" w:lineRule="auto"/>
        <w:rPr>
          <w:b/>
        </w:rPr>
      </w:pPr>
      <w:r>
        <w:rPr>
          <w:b/>
        </w:rPr>
        <w:br w:type="page"/>
      </w:r>
    </w:p>
    <w:p w14:paraId="27EC6ACC" w14:textId="2105C72C" w:rsidR="00AA0281" w:rsidRPr="007C3562" w:rsidRDefault="00AA0281" w:rsidP="00AA0281">
      <w:pPr>
        <w:pStyle w:val="ListParagraph"/>
        <w:numPr>
          <w:ilvl w:val="0"/>
          <w:numId w:val="29"/>
        </w:numPr>
        <w:rPr>
          <w:b/>
        </w:rPr>
      </w:pPr>
      <w:r w:rsidRPr="007C3562">
        <w:rPr>
          <w:b/>
        </w:rPr>
        <w:lastRenderedPageBreak/>
        <w:t>Cilj uspješnosti</w:t>
      </w:r>
    </w:p>
    <w:p w14:paraId="33C9E1D0" w14:textId="77777777" w:rsidR="00AA0281" w:rsidRPr="0004138E" w:rsidRDefault="00AA0281" w:rsidP="00AA0281">
      <w:pPr>
        <w:rPr>
          <w:b/>
        </w:rPr>
      </w:pPr>
    </w:p>
    <w:tbl>
      <w:tblPr>
        <w:tblW w:w="9116" w:type="dxa"/>
        <w:tblInd w:w="93" w:type="dxa"/>
        <w:tblLook w:val="04A0" w:firstRow="1" w:lastRow="0" w:firstColumn="1" w:lastColumn="0" w:noHBand="0" w:noVBand="1"/>
      </w:tblPr>
      <w:tblGrid>
        <w:gridCol w:w="2860"/>
        <w:gridCol w:w="2380"/>
        <w:gridCol w:w="2380"/>
        <w:gridCol w:w="1496"/>
      </w:tblGrid>
      <w:tr w:rsidR="00AA0281" w:rsidRPr="00C2138A" w14:paraId="0802F880" w14:textId="77777777" w:rsidTr="001B06BF">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62E8A9E6"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2CAC562"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1C800701" w14:textId="77777777" w:rsidTr="001B06BF">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75040D4E"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377F5C20"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2BFE1BF5"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4E8341CC" w14:textId="1CCA64AE"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B06BF" w:rsidRPr="000E330E">
              <w:rPr>
                <w:rFonts w:ascii="Arial Narrow" w:hAnsi="Arial Narrow" w:cs="Calibri"/>
                <w:b/>
                <w:bCs/>
                <w:sz w:val="18"/>
                <w:szCs w:val="18"/>
                <w:lang w:eastAsia="hr-HR"/>
              </w:rPr>
              <w:t>-OSIGURANA SREDSTVA U PRORAČUNU IŽ</w:t>
            </w:r>
          </w:p>
        </w:tc>
      </w:tr>
      <w:tr w:rsidR="00AA0281" w:rsidRPr="00F63258" w14:paraId="2287302A" w14:textId="77777777" w:rsidTr="001B06BF">
        <w:trPr>
          <w:trHeight w:val="970"/>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699674F"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761D3982" w14:textId="77777777" w:rsidR="00AA0281" w:rsidRPr="000D2CB2" w:rsidRDefault="00AA0281" w:rsidP="007B5AFD">
            <w:pPr>
              <w:rPr>
                <w:rFonts w:ascii="Arial Narrow" w:hAnsi="Arial Narrow" w:cs="Calibri"/>
                <w:color w:val="000000"/>
                <w:sz w:val="20"/>
                <w:szCs w:val="20"/>
                <w:lang w:eastAsia="hr-HR"/>
              </w:rPr>
            </w:pPr>
            <w:r w:rsidRPr="000D2CB2">
              <w:rPr>
                <w:rFonts w:ascii="Arial Narrow" w:hAnsi="Arial Narrow" w:cs="Calibri"/>
                <w:color w:val="000000"/>
                <w:sz w:val="20"/>
                <w:szCs w:val="20"/>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5A341B26"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A420717 Praćenje razine buke okoliša; </w:t>
            </w:r>
          </w:p>
        </w:tc>
        <w:tc>
          <w:tcPr>
            <w:tcW w:w="1496" w:type="dxa"/>
            <w:tcBorders>
              <w:top w:val="nil"/>
              <w:left w:val="single" w:sz="4" w:space="0" w:color="auto"/>
              <w:bottom w:val="single" w:sz="4" w:space="0" w:color="auto"/>
              <w:right w:val="single" w:sz="4" w:space="0" w:color="auto"/>
            </w:tcBorders>
            <w:shd w:val="clear" w:color="auto" w:fill="auto"/>
            <w:noWrap/>
            <w:vAlign w:val="center"/>
          </w:tcPr>
          <w:p w14:paraId="1C026270" w14:textId="77777777" w:rsidR="00AA0281" w:rsidRPr="000D2CB2" w:rsidRDefault="00AA0281" w:rsidP="007B5AFD">
            <w:pPr>
              <w:jc w:val="center"/>
              <w:rPr>
                <w:rFonts w:ascii="Arial Narrow" w:hAnsi="Arial Narrow" w:cs="Calibri"/>
                <w:sz w:val="20"/>
                <w:szCs w:val="20"/>
                <w:lang w:eastAsia="hr-HR"/>
              </w:rPr>
            </w:pPr>
            <w:r w:rsidRPr="000D2CB2">
              <w:rPr>
                <w:rFonts w:ascii="Arial Narrow" w:hAnsi="Arial Narrow" w:cs="Calibri"/>
                <w:sz w:val="20"/>
                <w:szCs w:val="20"/>
                <w:lang w:eastAsia="hr-HR"/>
              </w:rPr>
              <w:t>6.636,00 EUR</w:t>
            </w:r>
          </w:p>
        </w:tc>
      </w:tr>
    </w:tbl>
    <w:p w14:paraId="02097DEA" w14:textId="77777777" w:rsidR="00AA0281" w:rsidRDefault="00AA0281" w:rsidP="00AA0281">
      <w:pPr>
        <w:ind w:left="360"/>
      </w:pPr>
    </w:p>
    <w:p w14:paraId="2AF7601F" w14:textId="77777777" w:rsidR="003A0824" w:rsidRDefault="003A0824" w:rsidP="003A0824">
      <w:pPr>
        <w:pStyle w:val="ListParagraph"/>
        <w:ind w:left="360"/>
        <w:rPr>
          <w:b/>
        </w:rPr>
      </w:pPr>
    </w:p>
    <w:p w14:paraId="413030C8" w14:textId="5AA3BBDC" w:rsidR="00AA0281" w:rsidRPr="007C3562" w:rsidRDefault="00AA0281" w:rsidP="00AA0281">
      <w:pPr>
        <w:pStyle w:val="ListParagraph"/>
        <w:numPr>
          <w:ilvl w:val="0"/>
          <w:numId w:val="28"/>
        </w:numPr>
        <w:rPr>
          <w:b/>
        </w:rPr>
      </w:pPr>
      <w:r w:rsidRPr="007C3562">
        <w:rPr>
          <w:b/>
        </w:rPr>
        <w:t>Pokazatelji uspješnosti</w:t>
      </w:r>
    </w:p>
    <w:p w14:paraId="70CC3A07" w14:textId="77777777" w:rsidR="00AA0281" w:rsidRPr="00F85E5A" w:rsidRDefault="00AA0281" w:rsidP="00AA0281">
      <w:pPr>
        <w:ind w:left="360"/>
        <w:rPr>
          <w:rFonts w:cs="Arial"/>
          <w:b/>
        </w:rPr>
      </w:pPr>
    </w:p>
    <w:tbl>
      <w:tblPr>
        <w:tblW w:w="9060" w:type="dxa"/>
        <w:tblInd w:w="93" w:type="dxa"/>
        <w:tblLook w:val="04A0" w:firstRow="1" w:lastRow="0" w:firstColumn="1" w:lastColumn="0" w:noHBand="0" w:noVBand="1"/>
      </w:tblPr>
      <w:tblGrid>
        <w:gridCol w:w="5005"/>
        <w:gridCol w:w="1134"/>
        <w:gridCol w:w="1079"/>
        <w:gridCol w:w="1842"/>
      </w:tblGrid>
      <w:tr w:rsidR="00AA0281" w:rsidRPr="00C2138A" w14:paraId="3A5B866F" w14:textId="77777777" w:rsidTr="007B5AFD">
        <w:trPr>
          <w:trHeight w:val="480"/>
        </w:trPr>
        <w:tc>
          <w:tcPr>
            <w:tcW w:w="5005" w:type="dxa"/>
            <w:tcBorders>
              <w:top w:val="single" w:sz="4" w:space="0" w:color="auto"/>
              <w:left w:val="single" w:sz="4" w:space="0" w:color="auto"/>
              <w:bottom w:val="single" w:sz="4" w:space="0" w:color="auto"/>
              <w:right w:val="nil"/>
            </w:tcBorders>
            <w:shd w:val="clear" w:color="000000" w:fill="F2F2F2"/>
            <w:vAlign w:val="center"/>
            <w:hideMark/>
          </w:tcPr>
          <w:p w14:paraId="65DB196C"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6B403E"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2A8C559A"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842" w:type="dxa"/>
            <w:tcBorders>
              <w:top w:val="single" w:sz="4" w:space="0" w:color="auto"/>
              <w:left w:val="nil"/>
              <w:bottom w:val="single" w:sz="4" w:space="0" w:color="auto"/>
              <w:right w:val="single" w:sz="4" w:space="0" w:color="auto"/>
            </w:tcBorders>
            <w:shd w:val="clear" w:color="000000" w:fill="F2F2F2"/>
            <w:noWrap/>
            <w:vAlign w:val="center"/>
            <w:hideMark/>
          </w:tcPr>
          <w:p w14:paraId="64BCCEEF"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267DF4" w14:paraId="7ADD0A2E" w14:textId="77777777" w:rsidTr="007B5AFD">
        <w:trPr>
          <w:trHeight w:val="570"/>
        </w:trPr>
        <w:tc>
          <w:tcPr>
            <w:tcW w:w="5005" w:type="dxa"/>
            <w:tcBorders>
              <w:top w:val="nil"/>
              <w:left w:val="single" w:sz="4" w:space="0" w:color="auto"/>
              <w:bottom w:val="single" w:sz="4" w:space="0" w:color="auto"/>
              <w:right w:val="single" w:sz="4" w:space="0" w:color="auto"/>
            </w:tcBorders>
            <w:shd w:val="clear" w:color="auto" w:fill="auto"/>
            <w:noWrap/>
            <w:vAlign w:val="center"/>
            <w:hideMark/>
          </w:tcPr>
          <w:p w14:paraId="64412178" w14:textId="77777777" w:rsidR="00AA0281" w:rsidRPr="000D2CB2" w:rsidRDefault="00AA0281" w:rsidP="007B5AFD">
            <w:pPr>
              <w:rPr>
                <w:rFonts w:ascii="Arial Narrow" w:hAnsi="Arial Narrow" w:cs="Calibri"/>
                <w:b/>
                <w:bCs/>
                <w:sz w:val="20"/>
                <w:szCs w:val="20"/>
                <w:lang w:eastAsia="hr-HR"/>
              </w:rPr>
            </w:pPr>
            <w:r w:rsidRPr="000D2CB2">
              <w:rPr>
                <w:rFonts w:ascii="Arial Narrow" w:hAnsi="Arial Narrow" w:cs="Calibri"/>
                <w:bCs/>
                <w:sz w:val="20"/>
                <w:szCs w:val="20"/>
                <w:lang w:eastAsia="hr-HR"/>
              </w:rPr>
              <w:t>Broj mjerenja buke</w:t>
            </w:r>
          </w:p>
        </w:tc>
        <w:tc>
          <w:tcPr>
            <w:tcW w:w="1134" w:type="dxa"/>
            <w:tcBorders>
              <w:top w:val="nil"/>
              <w:left w:val="nil"/>
              <w:bottom w:val="single" w:sz="4" w:space="0" w:color="auto"/>
              <w:right w:val="single" w:sz="4" w:space="0" w:color="auto"/>
            </w:tcBorders>
            <w:shd w:val="clear" w:color="auto" w:fill="auto"/>
            <w:noWrap/>
            <w:vAlign w:val="center"/>
            <w:hideMark/>
          </w:tcPr>
          <w:p w14:paraId="31ADEDEF"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36 </w:t>
            </w:r>
          </w:p>
        </w:tc>
        <w:tc>
          <w:tcPr>
            <w:tcW w:w="1079" w:type="dxa"/>
            <w:tcBorders>
              <w:top w:val="nil"/>
              <w:left w:val="nil"/>
              <w:bottom w:val="single" w:sz="4" w:space="0" w:color="auto"/>
              <w:right w:val="single" w:sz="4" w:space="0" w:color="auto"/>
            </w:tcBorders>
            <w:shd w:val="clear" w:color="auto" w:fill="auto"/>
            <w:noWrap/>
            <w:vAlign w:val="center"/>
          </w:tcPr>
          <w:p w14:paraId="788DAE88"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36</w:t>
            </w:r>
          </w:p>
        </w:tc>
        <w:tc>
          <w:tcPr>
            <w:tcW w:w="1842" w:type="dxa"/>
            <w:tcBorders>
              <w:top w:val="nil"/>
              <w:left w:val="nil"/>
              <w:bottom w:val="single" w:sz="4" w:space="0" w:color="auto"/>
              <w:right w:val="single" w:sz="4" w:space="0" w:color="auto"/>
            </w:tcBorders>
            <w:shd w:val="clear" w:color="auto" w:fill="auto"/>
            <w:noWrap/>
            <w:vAlign w:val="center"/>
          </w:tcPr>
          <w:p w14:paraId="6E6D86E6"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36</w:t>
            </w:r>
          </w:p>
        </w:tc>
      </w:tr>
    </w:tbl>
    <w:p w14:paraId="0CDC84D2" w14:textId="77777777" w:rsidR="00AA0281" w:rsidRPr="00952434" w:rsidRDefault="00AA0281" w:rsidP="00AA0281">
      <w:pPr>
        <w:rPr>
          <w:rFonts w:ascii="Arial" w:hAnsi="Arial" w:cs="Arial"/>
          <w:b/>
        </w:rPr>
      </w:pPr>
    </w:p>
    <w:p w14:paraId="02E01461" w14:textId="77777777" w:rsidR="00AA0281" w:rsidRPr="007C3562" w:rsidRDefault="00AA0281" w:rsidP="00AA0281">
      <w:pPr>
        <w:rPr>
          <w:b/>
        </w:rPr>
      </w:pPr>
      <w:r w:rsidRPr="007C3562">
        <w:rPr>
          <w:b/>
        </w:rPr>
        <w:t>Izvještaj o postignutim ciljevima i rezultatima programa temeljenim na pokazateljima uspješnosti:</w:t>
      </w:r>
    </w:p>
    <w:p w14:paraId="697A8788" w14:textId="77777777" w:rsidR="00AA0281" w:rsidRPr="007C3562" w:rsidRDefault="00AA0281" w:rsidP="00AA0281">
      <w:pPr>
        <w:tabs>
          <w:tab w:val="left" w:pos="993"/>
          <w:tab w:val="center" w:pos="1843"/>
          <w:tab w:val="center" w:pos="6804"/>
          <w:tab w:val="right" w:pos="8647"/>
        </w:tabs>
        <w:jc w:val="both"/>
        <w:rPr>
          <w:color w:val="FF0000"/>
        </w:rPr>
      </w:pPr>
      <w:r w:rsidRPr="007C3562">
        <w:rPr>
          <w:rFonts w:eastAsia="BatangChe"/>
        </w:rPr>
        <w:t>P</w:t>
      </w:r>
      <w:r w:rsidRPr="007C3562">
        <w:t>rovedena su sustavna praćenja razine buke okoliša (24 h monitoring). Mjerenjem je obuhvaćeno ukupno 6 gradova po 3 mjerna mjesta (Pula, Pazin, Rovinj, Poreč, Umag, Labin). Mjerna mjesta nalaze se u različitim stambenim zonama, a na svakom mjernom mjestu provedena su 24 h neprekidna mjerenja razine buke (dan-večer-noć) uz paralelno mjerenje (brojanje i kategorizacija prolazaka vozila) tako da se cjelovito obuhvati ciklus promjena nivoa s obzirom na karakter buke cestovnog prometa. Na ukupno 18 mjernih mjesta provedena su dva perioda (proljeće-ljeto i jesen-zima), ukupno 36 mjerenja buke.</w:t>
      </w:r>
    </w:p>
    <w:p w14:paraId="669B729C" w14:textId="77777777" w:rsidR="00AA0281" w:rsidRPr="007C3562" w:rsidRDefault="00AA0281" w:rsidP="00AA0281">
      <w:pPr>
        <w:tabs>
          <w:tab w:val="left" w:pos="993"/>
          <w:tab w:val="center" w:pos="1843"/>
          <w:tab w:val="center" w:pos="6804"/>
          <w:tab w:val="right" w:pos="8647"/>
        </w:tabs>
        <w:jc w:val="both"/>
        <w:rPr>
          <w:color w:val="FF0000"/>
        </w:rPr>
      </w:pPr>
    </w:p>
    <w:p w14:paraId="7488B1EC" w14:textId="77777777" w:rsidR="00AA0281" w:rsidRPr="007C3562" w:rsidRDefault="00AA0281" w:rsidP="00AA0281">
      <w:pPr>
        <w:tabs>
          <w:tab w:val="left" w:pos="993"/>
          <w:tab w:val="center" w:pos="1843"/>
          <w:tab w:val="center" w:pos="6804"/>
          <w:tab w:val="right" w:pos="8647"/>
        </w:tabs>
        <w:jc w:val="both"/>
        <w:rPr>
          <w:color w:val="FF0000"/>
        </w:rPr>
      </w:pPr>
    </w:p>
    <w:p w14:paraId="3B1E901D" w14:textId="77777777" w:rsidR="00AA0281" w:rsidRPr="007C3562" w:rsidRDefault="00AA0281" w:rsidP="00AA0281">
      <w:pPr>
        <w:pStyle w:val="ListParagraph"/>
        <w:numPr>
          <w:ilvl w:val="1"/>
          <w:numId w:val="27"/>
        </w:numPr>
        <w:tabs>
          <w:tab w:val="left" w:pos="708"/>
        </w:tabs>
        <w:rPr>
          <w:b/>
          <w:bCs/>
        </w:rPr>
      </w:pPr>
      <w:bookmarkStart w:id="6" w:name="_Hlk160531299"/>
      <w:r w:rsidRPr="007C3562">
        <w:rPr>
          <w:b/>
          <w:bCs/>
        </w:rPr>
        <w:t xml:space="preserve">AKTIVNOST: Praćenja invazivnih vrsta komaraca - vektora zaraznih bolesti na području Istarske Županije  </w:t>
      </w:r>
    </w:p>
    <w:bookmarkEnd w:id="6"/>
    <w:p w14:paraId="67B6BE53" w14:textId="77777777" w:rsidR="00AA0281" w:rsidRPr="007C3562" w:rsidRDefault="00AA0281" w:rsidP="00AA0281">
      <w:pPr>
        <w:tabs>
          <w:tab w:val="left" w:pos="708"/>
        </w:tabs>
      </w:pPr>
    </w:p>
    <w:p w14:paraId="68B05396" w14:textId="77777777" w:rsidR="00AA0281" w:rsidRPr="007C3562" w:rsidRDefault="00AA0281" w:rsidP="00AA0281">
      <w:pPr>
        <w:pStyle w:val="ListParagraph"/>
        <w:numPr>
          <w:ilvl w:val="0"/>
          <w:numId w:val="29"/>
        </w:numPr>
        <w:tabs>
          <w:tab w:val="left" w:pos="708"/>
        </w:tabs>
        <w:jc w:val="both"/>
      </w:pPr>
      <w:r w:rsidRPr="007C3562">
        <w:rPr>
          <w:b/>
          <w:color w:val="000000"/>
        </w:rPr>
        <w:t xml:space="preserve">Obrazloženje: </w:t>
      </w:r>
      <w:r w:rsidRPr="007C3562">
        <w:t>Na osnovu izmjena i dopuna Programa mjera suzbijanja patogenih mikroorganizama, štetnih člankonožaca (Arthropoda) i štetnih glodavaca čije je planirano, organizirano i sustavno suzbijanje mjerama dezinfekcije, dezinsekcije i deratizacije od javnozdravstvene važnosti za Republiku Hrvatsku („Narodne novine“ broj 128/11 i 62/18) i sukladno smjernicama Europskog centra za prevenciju i nadzor bolesti (European Center for Disease Prevention and Control – ECDC), radi praćenja vektora zaraznih bolesti županijski zavodi za javno zdravstvo i Grada Zagreba dužni su na području svoje nadležnosti provoditi program kontinuiranog monitoringa, tj. istraživanja o prisutnosti, vrsti, brojnosti, širenju, zaraženosti vektora zaraznih bolesti. Županije, odnosno Grad Zagreb obvezni su omogućiti provođenje programa na području svoje nadležnosti s ciljem sprječavanja pojave i mogućeg širenja zaraznih bolesti koje prenose komarci. Monitoring se provodi postavljanjem ovipozicijskih klopki sa izmjenom pločica u razmaku od 14 dana na 30 točaka monitoringa sukladno Protokolu za nastavak provedbe nacionalnog sustava</w:t>
      </w:r>
      <w:r w:rsidRPr="007C3562">
        <w:rPr>
          <w:b/>
        </w:rPr>
        <w:t xml:space="preserve"> </w:t>
      </w:r>
      <w:r w:rsidRPr="007C3562">
        <w:t>praćenja invazivnih vrsta komaraca 2023. godine koji</w:t>
      </w:r>
      <w:r w:rsidRPr="007C3562">
        <w:rPr>
          <w:b/>
        </w:rPr>
        <w:t xml:space="preserve"> </w:t>
      </w:r>
      <w:r w:rsidRPr="007C3562">
        <w:t>izrađuje Hrvatski zavod za javno zdravstvo.</w:t>
      </w:r>
    </w:p>
    <w:p w14:paraId="0507BC0F" w14:textId="77777777" w:rsidR="00AA0281" w:rsidRPr="007C3562" w:rsidRDefault="00AA0281" w:rsidP="00AA0281">
      <w:pPr>
        <w:pStyle w:val="ListParagraph"/>
        <w:numPr>
          <w:ilvl w:val="0"/>
          <w:numId w:val="29"/>
        </w:numPr>
        <w:rPr>
          <w:b/>
        </w:rPr>
      </w:pPr>
      <w:r w:rsidRPr="007C3562">
        <w:rPr>
          <w:b/>
        </w:rPr>
        <w:lastRenderedPageBreak/>
        <w:t>Cilj uspješnosti</w:t>
      </w:r>
    </w:p>
    <w:p w14:paraId="14C6454C" w14:textId="77777777" w:rsidR="00AA0281" w:rsidRPr="0004138E" w:rsidRDefault="00AA0281" w:rsidP="00AA0281">
      <w:pPr>
        <w:rPr>
          <w:b/>
        </w:rPr>
      </w:pPr>
    </w:p>
    <w:tbl>
      <w:tblPr>
        <w:tblW w:w="9116" w:type="dxa"/>
        <w:tblInd w:w="93" w:type="dxa"/>
        <w:tblLook w:val="04A0" w:firstRow="1" w:lastRow="0" w:firstColumn="1" w:lastColumn="0" w:noHBand="0" w:noVBand="1"/>
      </w:tblPr>
      <w:tblGrid>
        <w:gridCol w:w="2860"/>
        <w:gridCol w:w="2380"/>
        <w:gridCol w:w="2380"/>
        <w:gridCol w:w="1496"/>
      </w:tblGrid>
      <w:tr w:rsidR="00AA0281" w:rsidRPr="00C2138A" w14:paraId="30E33F77" w14:textId="77777777" w:rsidTr="001B06BF">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155D30C8"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32516AA"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PLANIRANA SREDSTVA U PRORAČUNU ISTARSKE ŽUPANIJE</w:t>
            </w:r>
          </w:p>
        </w:tc>
      </w:tr>
      <w:tr w:rsidR="00AA0281" w:rsidRPr="00C2138A" w14:paraId="6E0D9C4A" w14:textId="77777777" w:rsidTr="001B06BF">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19068B8E" w14:textId="77777777" w:rsidR="00AA0281" w:rsidRPr="000E330E" w:rsidRDefault="00AA0281" w:rsidP="007B5AFD">
            <w:pPr>
              <w:rPr>
                <w:rFonts w:ascii="Arial Narrow" w:hAnsi="Arial Narrow" w:cs="Calibri"/>
                <w:b/>
                <w:bCs/>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2B247977"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31548A85" w14:textId="77777777"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1352E450" w14:textId="1F2BFC7D"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B06BF" w:rsidRPr="000E330E">
              <w:rPr>
                <w:rFonts w:ascii="Arial Narrow" w:hAnsi="Arial Narrow" w:cs="Calibri"/>
                <w:b/>
                <w:bCs/>
                <w:sz w:val="18"/>
                <w:szCs w:val="18"/>
                <w:lang w:eastAsia="hr-HR"/>
              </w:rPr>
              <w:t>-OSIGURANA SREDSTVA U PRORAČUNU IŽ</w:t>
            </w:r>
          </w:p>
        </w:tc>
      </w:tr>
      <w:tr w:rsidR="00AA0281" w:rsidRPr="00C2138A" w14:paraId="76EE2A4E" w14:textId="77777777" w:rsidTr="001B06BF">
        <w:trPr>
          <w:trHeight w:val="978"/>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B31AAD0"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5B729EA4"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573CD271" w14:textId="77777777" w:rsidR="00AA0281" w:rsidRPr="000D2CB2" w:rsidRDefault="00AA0281" w:rsidP="007B5AFD">
            <w:pPr>
              <w:rPr>
                <w:rFonts w:ascii="Arial Narrow" w:hAnsi="Arial Narrow" w:cs="Calibri"/>
                <w:sz w:val="20"/>
                <w:szCs w:val="20"/>
                <w:lang w:eastAsia="hr-HR"/>
              </w:rPr>
            </w:pPr>
            <w:r w:rsidRPr="000D2CB2">
              <w:rPr>
                <w:rFonts w:ascii="Arial Narrow" w:hAnsi="Arial Narrow" w:cs="Calibri"/>
                <w:sz w:val="20"/>
                <w:szCs w:val="20"/>
                <w:lang w:eastAsia="hr-HR"/>
              </w:rPr>
              <w:t xml:space="preserve">A420718 Program praćenja invazivnih vrsta komaraca; </w:t>
            </w:r>
          </w:p>
        </w:tc>
        <w:tc>
          <w:tcPr>
            <w:tcW w:w="1496" w:type="dxa"/>
            <w:tcBorders>
              <w:top w:val="nil"/>
              <w:left w:val="single" w:sz="4" w:space="0" w:color="auto"/>
              <w:bottom w:val="single" w:sz="4" w:space="0" w:color="auto"/>
              <w:right w:val="single" w:sz="4" w:space="0" w:color="auto"/>
            </w:tcBorders>
            <w:shd w:val="clear" w:color="auto" w:fill="auto"/>
            <w:noWrap/>
            <w:vAlign w:val="center"/>
          </w:tcPr>
          <w:p w14:paraId="53622339" w14:textId="77777777" w:rsidR="00AA0281" w:rsidRPr="000D2CB2" w:rsidRDefault="00AA0281" w:rsidP="007B5AFD">
            <w:pPr>
              <w:jc w:val="center"/>
              <w:rPr>
                <w:rFonts w:ascii="Arial Narrow" w:hAnsi="Arial Narrow" w:cs="Calibri"/>
                <w:sz w:val="20"/>
                <w:szCs w:val="20"/>
                <w:lang w:eastAsia="hr-HR"/>
              </w:rPr>
            </w:pPr>
            <w:r w:rsidRPr="000D2CB2">
              <w:rPr>
                <w:rFonts w:ascii="Arial Narrow" w:hAnsi="Arial Narrow" w:cs="Calibri"/>
                <w:sz w:val="20"/>
                <w:szCs w:val="20"/>
                <w:lang w:eastAsia="hr-HR"/>
              </w:rPr>
              <w:t>3.982,00 EUR</w:t>
            </w:r>
          </w:p>
        </w:tc>
      </w:tr>
    </w:tbl>
    <w:p w14:paraId="26C20655" w14:textId="77777777" w:rsidR="00AA0281" w:rsidRDefault="00AA0281" w:rsidP="00AA0281"/>
    <w:p w14:paraId="3243A3C1" w14:textId="77777777" w:rsidR="00E40F5E" w:rsidRDefault="00E40F5E" w:rsidP="00AA0281"/>
    <w:p w14:paraId="7C79BD26" w14:textId="77777777" w:rsidR="00AA0281" w:rsidRPr="007C3562" w:rsidRDefault="00AA0281" w:rsidP="00AA0281">
      <w:pPr>
        <w:pStyle w:val="ListParagraph"/>
        <w:numPr>
          <w:ilvl w:val="0"/>
          <w:numId w:val="28"/>
        </w:numPr>
        <w:rPr>
          <w:b/>
        </w:rPr>
      </w:pPr>
      <w:bookmarkStart w:id="7" w:name="_Hlk160531269"/>
      <w:r w:rsidRPr="007C3562">
        <w:rPr>
          <w:b/>
        </w:rPr>
        <w:t>Pokazatelji uspješnosti</w:t>
      </w:r>
    </w:p>
    <w:p w14:paraId="655A4593" w14:textId="77777777" w:rsidR="00AA0281" w:rsidRPr="00F85E5A" w:rsidRDefault="00AA0281" w:rsidP="00AA0281">
      <w:pPr>
        <w:rPr>
          <w:rFonts w:cs="Arial"/>
          <w:b/>
        </w:rPr>
      </w:pPr>
    </w:p>
    <w:tbl>
      <w:tblPr>
        <w:tblW w:w="8920" w:type="dxa"/>
        <w:tblInd w:w="93" w:type="dxa"/>
        <w:tblLook w:val="04A0" w:firstRow="1" w:lastRow="0" w:firstColumn="1" w:lastColumn="0" w:noHBand="0" w:noVBand="1"/>
      </w:tblPr>
      <w:tblGrid>
        <w:gridCol w:w="4864"/>
        <w:gridCol w:w="1134"/>
        <w:gridCol w:w="1079"/>
        <w:gridCol w:w="1843"/>
      </w:tblGrid>
      <w:tr w:rsidR="00AA0281" w:rsidRPr="00C2138A" w14:paraId="0E95C5FD" w14:textId="77777777" w:rsidTr="007B5AFD">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532C1276" w14:textId="77777777" w:rsidR="00AA0281" w:rsidRPr="000E330E" w:rsidRDefault="00AA0281" w:rsidP="007B5AFD">
            <w:pPr>
              <w:rPr>
                <w:rFonts w:ascii="Arial Narrow" w:hAnsi="Arial Narrow" w:cs="Calibri"/>
                <w:b/>
                <w:bCs/>
                <w:color w:val="000000"/>
                <w:sz w:val="18"/>
                <w:szCs w:val="18"/>
                <w:lang w:eastAsia="hr-HR"/>
              </w:rPr>
            </w:pPr>
            <w:bookmarkStart w:id="8" w:name="_Hlk159919113"/>
            <w:r w:rsidRPr="000E330E">
              <w:rPr>
                <w:rFonts w:ascii="Arial Narrow" w:hAnsi="Arial Narrow" w:cs="Calibri"/>
                <w:b/>
                <w:bCs/>
                <w:color w:val="000000"/>
                <w:sz w:val="18"/>
                <w:szCs w:val="18"/>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CCD0E95"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41B5628A"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66921E00"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bookmarkEnd w:id="8"/>
      <w:tr w:rsidR="00AA0281" w:rsidRPr="00384A09" w14:paraId="02C9A11F"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9222D" w14:textId="77777777" w:rsidR="00AA0281" w:rsidRPr="000D2CB2" w:rsidRDefault="00AA0281" w:rsidP="007B5AFD">
            <w:pPr>
              <w:rPr>
                <w:rFonts w:ascii="Arial Narrow" w:hAnsi="Arial Narrow" w:cs="Calibri"/>
                <w:bCs/>
                <w:sz w:val="20"/>
                <w:szCs w:val="20"/>
                <w:lang w:eastAsia="hr-HR"/>
              </w:rPr>
            </w:pPr>
            <w:r w:rsidRPr="000D2CB2">
              <w:rPr>
                <w:rFonts w:ascii="Arial Narrow" w:hAnsi="Arial Narrow" w:cs="Calibri"/>
                <w:bCs/>
                <w:sz w:val="20"/>
                <w:szCs w:val="20"/>
                <w:lang w:eastAsia="hr-HR"/>
              </w:rPr>
              <w:t>Broj obrađenih uzoraka komaraca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00D2B7"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184</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5DA0A36D"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184</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AA6AA1" w14:textId="77777777" w:rsidR="00AA0281" w:rsidRPr="000D2CB2" w:rsidRDefault="00AA0281" w:rsidP="007B5AFD">
            <w:pPr>
              <w:jc w:val="center"/>
              <w:rPr>
                <w:rFonts w:ascii="Arial Narrow" w:hAnsi="Arial Narrow" w:cs="Calibri"/>
                <w:bCs/>
                <w:sz w:val="20"/>
                <w:szCs w:val="20"/>
                <w:lang w:eastAsia="hr-HR"/>
              </w:rPr>
            </w:pPr>
            <w:r w:rsidRPr="000D2CB2">
              <w:rPr>
                <w:rFonts w:ascii="Arial Narrow" w:hAnsi="Arial Narrow" w:cs="Calibri"/>
                <w:bCs/>
                <w:sz w:val="20"/>
                <w:szCs w:val="20"/>
                <w:lang w:eastAsia="hr-HR"/>
              </w:rPr>
              <w:t>300</w:t>
            </w:r>
          </w:p>
        </w:tc>
      </w:tr>
      <w:bookmarkEnd w:id="7"/>
    </w:tbl>
    <w:p w14:paraId="0C36D4D8" w14:textId="77777777" w:rsidR="00AA0281" w:rsidRPr="0004138E" w:rsidRDefault="00AA0281" w:rsidP="00AA0281">
      <w:pPr>
        <w:tabs>
          <w:tab w:val="left" w:pos="708"/>
        </w:tabs>
        <w:jc w:val="both"/>
      </w:pPr>
    </w:p>
    <w:p w14:paraId="2E9006E3" w14:textId="77777777" w:rsidR="00AA0281" w:rsidRPr="007C3562" w:rsidRDefault="00AA0281" w:rsidP="00AA0281">
      <w:pPr>
        <w:rPr>
          <w:b/>
        </w:rPr>
      </w:pPr>
      <w:r w:rsidRPr="007C3562">
        <w:rPr>
          <w:b/>
        </w:rPr>
        <w:t>Izvještaj o postignutim ciljevima i rezultatima programa temeljenim na pokazateljima uspješnosti:</w:t>
      </w:r>
    </w:p>
    <w:p w14:paraId="66650792" w14:textId="77777777" w:rsidR="00AA0281" w:rsidRPr="007C3562" w:rsidRDefault="00AA0281" w:rsidP="00AA0281">
      <w:pPr>
        <w:jc w:val="both"/>
      </w:pPr>
      <w:r w:rsidRPr="007C3562">
        <w:t xml:space="preserve">Monitoring komaraca je proveden postavljanjem 47 ovipozicijskih klopki na 30 lokacija s redovitom izmjenom klopki svakih 14 dana od svibnja do studenog sukladno Protokolu Hrvatskog zavoda za javno zdravstvo. Na svim lokacijama zamijećena je ovipozicija invazivnih vrsta komaraca te su jaja podvrgnuta daljnjem uzgoju u laboratorijskim uvjetima. Determinirane su invazivne vrste komaraca u ličinačkoj i adultnoj fazi razvoja pomoću stereo lupe te se pratila prisutnost putem GIS metodologije. Na svim lokalitetima zabilježena je prisutnost invazivne vrste </w:t>
      </w:r>
      <w:r w:rsidRPr="007C3562">
        <w:rPr>
          <w:i/>
          <w:iCs/>
        </w:rPr>
        <w:t xml:space="preserve">Aedes albopictus (azijski tigrasti komarac), </w:t>
      </w:r>
      <w:r w:rsidRPr="007C3562">
        <w:t xml:space="preserve">dok je prisutnost vrste </w:t>
      </w:r>
      <w:r w:rsidRPr="007C3562">
        <w:rPr>
          <w:i/>
          <w:iCs/>
        </w:rPr>
        <w:t>Ae. japonicus</w:t>
      </w:r>
      <w:r w:rsidRPr="007C3562">
        <w:t xml:space="preserve"> (japanski komarac) utvrđena na pet lokacija u Istri (Buzet, Raša, Savudrija, Valtura, Vrsar).</w:t>
      </w:r>
    </w:p>
    <w:p w14:paraId="4CE06A2E" w14:textId="77777777" w:rsidR="00AA0281" w:rsidRPr="007C3562" w:rsidRDefault="00AA0281" w:rsidP="00AA0281">
      <w:pPr>
        <w:jc w:val="both"/>
      </w:pPr>
    </w:p>
    <w:p w14:paraId="58564BB7" w14:textId="77777777" w:rsidR="00AA0281" w:rsidRPr="007C3562" w:rsidRDefault="00AA0281" w:rsidP="00AA0281">
      <w:pPr>
        <w:jc w:val="both"/>
        <w:rPr>
          <w:color w:val="FF0000"/>
        </w:rPr>
      </w:pPr>
    </w:p>
    <w:p w14:paraId="01A37FA1" w14:textId="77777777" w:rsidR="00AA0281" w:rsidRPr="007C3562" w:rsidRDefault="00AA0281" w:rsidP="00AA0281">
      <w:pPr>
        <w:pStyle w:val="ListParagraph"/>
        <w:numPr>
          <w:ilvl w:val="1"/>
          <w:numId w:val="27"/>
        </w:numPr>
        <w:tabs>
          <w:tab w:val="left" w:pos="708"/>
        </w:tabs>
        <w:rPr>
          <w:b/>
          <w:bCs/>
        </w:rPr>
      </w:pPr>
      <w:r w:rsidRPr="007C3562">
        <w:rPr>
          <w:b/>
          <w:bCs/>
        </w:rPr>
        <w:t>AKTIVNOST:</w:t>
      </w:r>
      <w:r w:rsidRPr="007C3562">
        <w:rPr>
          <w:color w:val="FF0000"/>
        </w:rPr>
        <w:t xml:space="preserve"> </w:t>
      </w:r>
      <w:r w:rsidRPr="007C3562">
        <w:rPr>
          <w:b/>
          <w:bCs/>
        </w:rPr>
        <w:t>Istraživanje biljnih i životinjskih vrsta i njihova važnost za poljoprivredu Istarske županije</w:t>
      </w:r>
    </w:p>
    <w:p w14:paraId="7863F649" w14:textId="77777777" w:rsidR="00AA0281" w:rsidRPr="007C3562" w:rsidRDefault="00AA0281" w:rsidP="00AA0281">
      <w:pPr>
        <w:rPr>
          <w:color w:val="FF0000"/>
        </w:rPr>
      </w:pPr>
    </w:p>
    <w:p w14:paraId="2DEC5492" w14:textId="77777777" w:rsidR="00AA0281" w:rsidRPr="007C3562" w:rsidRDefault="00AA0281" w:rsidP="00AA0281">
      <w:pPr>
        <w:pStyle w:val="ListParagraph"/>
        <w:numPr>
          <w:ilvl w:val="0"/>
          <w:numId w:val="29"/>
        </w:numPr>
        <w:tabs>
          <w:tab w:val="left" w:pos="708"/>
          <w:tab w:val="left" w:pos="1927"/>
        </w:tabs>
        <w:jc w:val="both"/>
        <w:rPr>
          <w:bCs/>
        </w:rPr>
      </w:pPr>
      <w:r w:rsidRPr="007C3562">
        <w:rPr>
          <w:b/>
          <w:bCs/>
          <w:color w:val="000000"/>
        </w:rPr>
        <w:t>Obrazloženje:</w:t>
      </w:r>
      <w:r w:rsidRPr="007C3562">
        <w:rPr>
          <w:color w:val="000000"/>
        </w:rPr>
        <w:t xml:space="preserve"> </w:t>
      </w:r>
      <w:r w:rsidRPr="007C3562">
        <w:t xml:space="preserve">Uključuje podaktivnosti: </w:t>
      </w:r>
      <w:r w:rsidRPr="007C3562">
        <w:rPr>
          <w:color w:val="000000"/>
        </w:rPr>
        <w:t xml:space="preserve">Pilot projekt – razvoj metode DNK barkodiranja u svrhu identifikacije vrste pčelinjeg meda, Kemijska karakterizacija i biološki učinci propolisa s područja Istarske županije i </w:t>
      </w:r>
      <w:r w:rsidRPr="007C3562">
        <w:rPr>
          <w:bCs/>
        </w:rPr>
        <w:t xml:space="preserve">Provedba monitoringa pamučaste štitaste uši Takahashia japonica na području Istre. </w:t>
      </w:r>
      <w:r w:rsidRPr="007C3562">
        <w:t>Metodom DNK barkodiranja meda, odnosno njegovih peludnih zrnaca, želi se razviti metoda koja trenutno nije zastupljena u RH,</w:t>
      </w:r>
      <w:r w:rsidRPr="007C3562">
        <w:rPr>
          <w:lang w:val="hr-BA"/>
        </w:rPr>
        <w:t xml:space="preserve"> a ubrzala bi postupak deklariranja meda i pospješila identifikaciju biljaka koje mogu sadržavati toksične spojeve te vrsta alergogenih biljaka u medu. </w:t>
      </w:r>
      <w:r w:rsidRPr="007C3562">
        <w:t>Propolis sadrži fenole, flavonoide, fenolne kiseline i njihove estere koji su osnovni pokazatelj kakvoće propolisa i imaju pozitivne učinke na ljudsko zdravlje jer sudjeluju u obrani organizma od štetnih radikala. Cilj istraživanja</w:t>
      </w:r>
      <w:r w:rsidRPr="007C3562">
        <w:rPr>
          <w:lang w:val="hr-BA"/>
        </w:rPr>
        <w:t xml:space="preserve"> </w:t>
      </w:r>
      <w:r w:rsidRPr="007C3562">
        <w:t xml:space="preserve">je odrediti fenolni i elementni profil propolisa uključujući  toksične elemente (krom, kadmij, živa, olovo i arsen) kako bi se odredile specifičnosti u kemijskom  sastavu istarskog propolisa. Analizom toksičnih elemenata u propolisu procijenit će se eventualni zdravstveni rizik </w:t>
      </w:r>
      <w:r w:rsidRPr="007C3562">
        <w:lastRenderedPageBreak/>
        <w:t xml:space="preserve">konzumacije propolisa te stupanj onečišćenosti okoliša, a analizom fenolnih spojeva izradit će se okvir bioaktivnih sastavnica karakterističnih na Istarskom području. </w:t>
      </w:r>
      <w:r w:rsidRPr="007C3562">
        <w:rPr>
          <w:bCs/>
        </w:rPr>
        <w:t xml:space="preserve">Azijska pamučna štitasta uš </w:t>
      </w:r>
      <w:r w:rsidRPr="007C3562">
        <w:rPr>
          <w:bCs/>
          <w:i/>
          <w:iCs/>
        </w:rPr>
        <w:t>Takahashia japonica</w:t>
      </w:r>
      <w:r w:rsidRPr="007C3562">
        <w:rPr>
          <w:bCs/>
        </w:rPr>
        <w:t xml:space="preserve"> je novootkrivena invazivna strana vrsta u Hrvatskoj, a prvi nalaz zabilježen je u Puli 2018. godine. Invazijom u ekosustav negativno utječe na biološku raznolikost, uzrokuje štete na samoniklom i uzgojenom bilju te donosi značajne ekonomske gubitke. Zbog štete koju može napraviti na različitim biljkama nalazi se na listi Europske i mediteranske organizacije za zaštitu bilja EPPO. Kako bi se osigurao brz i koordiniran odgovor, potrebno je žurno provesti ranu detekciju i strategiju iskorjenjivanja.</w:t>
      </w:r>
      <w:r w:rsidRPr="007C3562">
        <w:t xml:space="preserve"> </w:t>
      </w:r>
      <w:r w:rsidRPr="007C3562">
        <w:rPr>
          <w:bCs/>
        </w:rPr>
        <w:t>Postoje nova žarišta širenja ove vrste na području Pule i Medulina. Zbog toga je bitno pokrenuti detaljan monitoring na navedenim područjima kako bi se sva mjesta zaraze evidentirala te nakon toga provelo sustavno suzbijanje s ciljem rane eradikacije invazivne vrste.</w:t>
      </w:r>
      <w:r w:rsidRPr="007C3562">
        <w:t xml:space="preserve"> P</w:t>
      </w:r>
      <w:r w:rsidRPr="007C3562">
        <w:rPr>
          <w:bCs/>
        </w:rPr>
        <w:t>rovela bi se i edukativna kampanja i poziv za dojavu lokacija s ciljem uključivanja građana Istarske županije u praćenje pojavnosti i kartiranje nalaza vrste.</w:t>
      </w:r>
    </w:p>
    <w:p w14:paraId="5E752267" w14:textId="77777777" w:rsidR="00AA0281" w:rsidRPr="007C3562" w:rsidRDefault="00AA0281" w:rsidP="00AA0281">
      <w:pPr>
        <w:tabs>
          <w:tab w:val="left" w:pos="708"/>
        </w:tabs>
        <w:jc w:val="both"/>
      </w:pPr>
    </w:p>
    <w:p w14:paraId="4EB5C08E" w14:textId="77777777" w:rsidR="00AA0281" w:rsidRPr="007C3562" w:rsidRDefault="00AA0281" w:rsidP="00AA0281">
      <w:pPr>
        <w:pStyle w:val="ListParagraph"/>
        <w:numPr>
          <w:ilvl w:val="0"/>
          <w:numId w:val="29"/>
        </w:numPr>
        <w:rPr>
          <w:b/>
        </w:rPr>
      </w:pPr>
      <w:r w:rsidRPr="007C3562">
        <w:rPr>
          <w:b/>
        </w:rPr>
        <w:t>Cilj uspješnosti</w:t>
      </w:r>
    </w:p>
    <w:p w14:paraId="2DA8DA15" w14:textId="77777777" w:rsidR="00AA0281" w:rsidRPr="0004138E" w:rsidRDefault="00AA0281" w:rsidP="00AA0281">
      <w:pPr>
        <w:rPr>
          <w:b/>
        </w:rPr>
      </w:pPr>
    </w:p>
    <w:tbl>
      <w:tblPr>
        <w:tblW w:w="9116" w:type="dxa"/>
        <w:tblInd w:w="93" w:type="dxa"/>
        <w:tblLook w:val="04A0" w:firstRow="1" w:lastRow="0" w:firstColumn="1" w:lastColumn="0" w:noHBand="0" w:noVBand="1"/>
      </w:tblPr>
      <w:tblGrid>
        <w:gridCol w:w="2860"/>
        <w:gridCol w:w="2380"/>
        <w:gridCol w:w="2380"/>
        <w:gridCol w:w="1496"/>
      </w:tblGrid>
      <w:tr w:rsidR="00AA0281" w:rsidRPr="00C2138A" w14:paraId="503716DB" w14:textId="77777777" w:rsidTr="001B06BF">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41C330F2"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8397B2B"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4B980C4F" w14:textId="77777777" w:rsidTr="001B06BF">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6C74C1AC"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5636D5D3"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10B5E0B0"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2C797C08" w14:textId="0E47E833"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B06BF" w:rsidRPr="000E330E">
              <w:rPr>
                <w:rFonts w:ascii="Arial Narrow" w:hAnsi="Arial Narrow" w:cs="Calibri"/>
                <w:b/>
                <w:bCs/>
                <w:sz w:val="18"/>
                <w:szCs w:val="18"/>
                <w:lang w:eastAsia="hr-HR"/>
              </w:rPr>
              <w:t>-OSIGURANA SREDSTVA U PRORAČUNU IŽ</w:t>
            </w:r>
          </w:p>
        </w:tc>
      </w:tr>
      <w:tr w:rsidR="00AA0281" w:rsidRPr="00C2138A" w14:paraId="69D9BF5C" w14:textId="77777777" w:rsidTr="001B06BF">
        <w:trPr>
          <w:trHeight w:val="1131"/>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31CFE87" w14:textId="77777777" w:rsidR="00AA0281" w:rsidRPr="00C27ADB" w:rsidRDefault="00AA0281" w:rsidP="007B5AFD">
            <w:pPr>
              <w:rPr>
                <w:rFonts w:ascii="Arial Narrow" w:hAnsi="Arial Narrow" w:cs="Calibri"/>
                <w:color w:val="FF0000"/>
                <w:sz w:val="20"/>
                <w:szCs w:val="20"/>
                <w:lang w:eastAsia="hr-HR"/>
              </w:rPr>
            </w:pPr>
            <w:r w:rsidRPr="00C27ADB">
              <w:rPr>
                <w:rFonts w:ascii="Arial Narrow" w:hAnsi="Arial Narrow" w:cs="Calibri"/>
                <w:sz w:val="20"/>
                <w:szCs w:val="20"/>
                <w:lang w:eastAsia="hr-HR"/>
              </w:rPr>
              <w:t xml:space="preserve">3.4.1. </w:t>
            </w:r>
            <w:r w:rsidRPr="00C27ADB">
              <w:rPr>
                <w:rFonts w:ascii="Arial Narrow" w:hAnsi="Arial Narrow" w:cs="Helvetica-BoldOblique"/>
                <w:sz w:val="20"/>
                <w:szCs w:val="20"/>
              </w:rPr>
              <w:t>Zaštita, valorizacija i promocija autohtonih proizvoda</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2A5D53FE" w14:textId="77777777" w:rsidR="00AA0281" w:rsidRPr="00C27ADB" w:rsidRDefault="00AA0281" w:rsidP="007B5AFD">
            <w:pPr>
              <w:rPr>
                <w:rFonts w:ascii="Arial Narrow" w:hAnsi="Arial Narrow" w:cs="Calibri"/>
                <w:color w:val="000000"/>
                <w:sz w:val="20"/>
                <w:szCs w:val="20"/>
                <w:lang w:eastAsia="hr-HR"/>
              </w:rPr>
            </w:pPr>
            <w:r w:rsidRPr="00C27ADB">
              <w:rPr>
                <w:rFonts w:ascii="Arial Narrow" w:hAnsi="Arial Narrow" w:cs="Calibri"/>
                <w:color w:val="000000"/>
                <w:sz w:val="20"/>
                <w:szCs w:val="20"/>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596BEDAC" w14:textId="77777777" w:rsidR="00AA0281" w:rsidRPr="00C27ADB" w:rsidRDefault="00AA0281" w:rsidP="007B5AFD">
            <w:pPr>
              <w:rPr>
                <w:rFonts w:ascii="Arial Narrow" w:hAnsi="Arial Narrow" w:cs="Calibri"/>
                <w:sz w:val="20"/>
                <w:szCs w:val="20"/>
                <w:lang w:eastAsia="hr-HR"/>
              </w:rPr>
            </w:pPr>
            <w:r w:rsidRPr="00C27ADB">
              <w:rPr>
                <w:rFonts w:ascii="Arial Narrow" w:hAnsi="Arial Narrow" w:cs="Calibri"/>
                <w:sz w:val="20"/>
                <w:szCs w:val="20"/>
                <w:lang w:eastAsia="hr-HR"/>
              </w:rPr>
              <w:t>A420720 Istraživanje biljnih i životinjskih vrsta i njihova važnost za poljoprivredu Istarske županije</w:t>
            </w:r>
          </w:p>
        </w:tc>
        <w:tc>
          <w:tcPr>
            <w:tcW w:w="1496" w:type="dxa"/>
            <w:tcBorders>
              <w:top w:val="nil"/>
              <w:left w:val="single" w:sz="4" w:space="0" w:color="auto"/>
              <w:bottom w:val="single" w:sz="4" w:space="0" w:color="auto"/>
              <w:right w:val="single" w:sz="4" w:space="0" w:color="auto"/>
            </w:tcBorders>
            <w:shd w:val="clear" w:color="auto" w:fill="auto"/>
            <w:noWrap/>
            <w:vAlign w:val="center"/>
          </w:tcPr>
          <w:p w14:paraId="1C89B461" w14:textId="77777777" w:rsidR="00AA0281" w:rsidRPr="00C27ADB" w:rsidRDefault="00AA0281" w:rsidP="007B5AFD">
            <w:pPr>
              <w:jc w:val="center"/>
              <w:rPr>
                <w:rFonts w:ascii="Arial Narrow" w:hAnsi="Arial Narrow" w:cs="Arial"/>
                <w:color w:val="FF0000"/>
                <w:sz w:val="20"/>
                <w:szCs w:val="20"/>
                <w:lang w:eastAsia="hr-HR"/>
              </w:rPr>
            </w:pPr>
            <w:r w:rsidRPr="00C27ADB">
              <w:rPr>
                <w:rFonts w:ascii="Arial Narrow" w:hAnsi="Arial Narrow" w:cs="Arial"/>
                <w:sz w:val="20"/>
                <w:szCs w:val="20"/>
              </w:rPr>
              <w:t>3.636,14 EUR</w:t>
            </w:r>
          </w:p>
        </w:tc>
      </w:tr>
    </w:tbl>
    <w:p w14:paraId="476304D7" w14:textId="77777777" w:rsidR="00AA0281" w:rsidRDefault="00AA0281" w:rsidP="00AA0281"/>
    <w:p w14:paraId="3E8C2661" w14:textId="77777777" w:rsidR="00BA1B22" w:rsidRDefault="00BA1B22" w:rsidP="00AA0281"/>
    <w:p w14:paraId="3CBD7A1B" w14:textId="77777777" w:rsidR="00AA0281" w:rsidRPr="007C3562" w:rsidRDefault="00AA0281" w:rsidP="00AA0281">
      <w:pPr>
        <w:pStyle w:val="ListParagraph"/>
        <w:numPr>
          <w:ilvl w:val="0"/>
          <w:numId w:val="28"/>
        </w:numPr>
        <w:rPr>
          <w:b/>
        </w:rPr>
      </w:pPr>
      <w:r w:rsidRPr="007C3562">
        <w:rPr>
          <w:b/>
        </w:rPr>
        <w:t>Pokazatelji uspješnosti</w:t>
      </w:r>
    </w:p>
    <w:p w14:paraId="4C023B05" w14:textId="77777777" w:rsidR="00AA0281" w:rsidRPr="00F85E5A" w:rsidRDefault="00AA0281" w:rsidP="00AA0281">
      <w:pPr>
        <w:rPr>
          <w:rFonts w:cs="Arial"/>
          <w:b/>
        </w:rPr>
      </w:pPr>
    </w:p>
    <w:tbl>
      <w:tblPr>
        <w:tblW w:w="8920" w:type="dxa"/>
        <w:tblInd w:w="93" w:type="dxa"/>
        <w:tblLook w:val="04A0" w:firstRow="1" w:lastRow="0" w:firstColumn="1" w:lastColumn="0" w:noHBand="0" w:noVBand="1"/>
      </w:tblPr>
      <w:tblGrid>
        <w:gridCol w:w="4864"/>
        <w:gridCol w:w="1134"/>
        <w:gridCol w:w="1079"/>
        <w:gridCol w:w="1843"/>
      </w:tblGrid>
      <w:tr w:rsidR="00AA0281" w:rsidRPr="00C2138A" w14:paraId="0F15247A" w14:textId="77777777" w:rsidTr="007B5AFD">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0C9F0729"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E2694A"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47EE1AF7"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148D62D4"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384A09" w14:paraId="3CF55533"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51E68" w14:textId="77777777" w:rsidR="00AA0281" w:rsidRPr="00C27ADB" w:rsidRDefault="00AA0281" w:rsidP="007B5AFD">
            <w:pPr>
              <w:rPr>
                <w:rFonts w:ascii="Arial Narrow" w:hAnsi="Arial Narrow" w:cs="Calibri"/>
                <w:bCs/>
                <w:sz w:val="20"/>
                <w:szCs w:val="20"/>
                <w:lang w:eastAsia="hr-HR"/>
              </w:rPr>
            </w:pPr>
            <w:r w:rsidRPr="00C27ADB">
              <w:rPr>
                <w:rFonts w:ascii="Arial Narrow" w:hAnsi="Arial Narrow" w:cs="Arial"/>
                <w:color w:val="000000"/>
                <w:sz w:val="20"/>
                <w:szCs w:val="20"/>
              </w:rPr>
              <w:t>Provedba pilot projekta razvoj metode DNK barkodiranja u svrhu identifikacije vrste pčelinjeg meda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0C5D90"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556E38B9"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830221"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w:t>
            </w:r>
          </w:p>
        </w:tc>
      </w:tr>
      <w:tr w:rsidR="00AA0281" w:rsidRPr="00384A09" w14:paraId="5264DB03"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25B9F" w14:textId="77777777" w:rsidR="00AA0281" w:rsidRPr="00C27ADB" w:rsidRDefault="00AA0281" w:rsidP="007B5AFD">
            <w:pPr>
              <w:rPr>
                <w:rFonts w:ascii="Arial Narrow" w:hAnsi="Arial Narrow" w:cs="Arial"/>
                <w:color w:val="000000"/>
                <w:sz w:val="20"/>
                <w:szCs w:val="20"/>
              </w:rPr>
            </w:pPr>
            <w:r w:rsidRPr="00C27ADB">
              <w:rPr>
                <w:rFonts w:ascii="Arial Narrow" w:hAnsi="Arial Narrow" w:cs="Arial"/>
                <w:color w:val="000000"/>
                <w:sz w:val="20"/>
                <w:szCs w:val="20"/>
              </w:rPr>
              <w:t>Provedba projekta Kemijska karakterizacija i biološki učinci propolisa s područja Istarske županije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11BCC0"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3A82F15C"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722792"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w:t>
            </w:r>
          </w:p>
        </w:tc>
      </w:tr>
      <w:tr w:rsidR="00AA0281" w:rsidRPr="00384A09" w14:paraId="1F0A953F"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2ED2B" w14:textId="77777777" w:rsidR="00AA0281" w:rsidRPr="00C27ADB" w:rsidRDefault="00AA0281" w:rsidP="007B5AFD">
            <w:pPr>
              <w:rPr>
                <w:rFonts w:ascii="Arial Narrow" w:hAnsi="Arial Narrow" w:cs="Arial"/>
                <w:color w:val="000000"/>
                <w:sz w:val="20"/>
                <w:szCs w:val="20"/>
              </w:rPr>
            </w:pPr>
            <w:r w:rsidRPr="00C27ADB">
              <w:rPr>
                <w:rFonts w:ascii="Arial Narrow" w:hAnsi="Arial Narrow" w:cs="Arial"/>
                <w:color w:val="000000"/>
                <w:sz w:val="20"/>
                <w:szCs w:val="20"/>
              </w:rPr>
              <w:t xml:space="preserve">Provedba </w:t>
            </w:r>
            <w:r w:rsidRPr="00C27ADB">
              <w:rPr>
                <w:rFonts w:ascii="Arial Narrow" w:hAnsi="Arial Narrow" w:cs="Arial"/>
                <w:bCs/>
                <w:sz w:val="20"/>
                <w:szCs w:val="20"/>
              </w:rPr>
              <w:t>monitoringa pamučaste štitaste uši Takahashia japonica na području Istre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C12D63"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6BF71398"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B79CE4"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w:t>
            </w:r>
          </w:p>
        </w:tc>
      </w:tr>
    </w:tbl>
    <w:p w14:paraId="740C5120" w14:textId="77777777" w:rsidR="00AA0281" w:rsidRDefault="00AA0281" w:rsidP="00AA0281">
      <w:pPr>
        <w:tabs>
          <w:tab w:val="left" w:pos="708"/>
        </w:tabs>
        <w:jc w:val="both"/>
      </w:pPr>
    </w:p>
    <w:p w14:paraId="179129A8" w14:textId="77777777" w:rsidR="00AA0281" w:rsidRPr="007C3562" w:rsidRDefault="00AA0281" w:rsidP="00AA0281">
      <w:pPr>
        <w:jc w:val="both"/>
        <w:rPr>
          <w:b/>
        </w:rPr>
      </w:pPr>
      <w:r w:rsidRPr="007C3562">
        <w:rPr>
          <w:b/>
        </w:rPr>
        <w:t>Izvještaj o postignutim ciljevima i rezultatima programa temeljenim na pokazateljima uspješnosti:</w:t>
      </w:r>
    </w:p>
    <w:p w14:paraId="36F7D8FD" w14:textId="2FA5F884" w:rsidR="00AA0281" w:rsidRPr="007C3562" w:rsidRDefault="00AA0281" w:rsidP="00AA0281">
      <w:pPr>
        <w:tabs>
          <w:tab w:val="left" w:pos="951"/>
        </w:tabs>
        <w:jc w:val="both"/>
        <w:rPr>
          <w:color w:val="000000"/>
        </w:rPr>
      </w:pPr>
      <w:r w:rsidRPr="007C3562">
        <w:rPr>
          <w:bCs/>
          <w:color w:val="000000"/>
        </w:rPr>
        <w:t>Uzorak meda izuzet od lokalnog pčelara koji ima stacionarni pčelinjak je podvrgnut sljedećim postupcima: predtretman meda čiji je cilj uklanjanje sastojaka koji inhibiraju PCR umnažanje željenih DNA fragmenata te izdvajanje peludnih zrnaca. Nakon toga provedena je probna izolacija DNA iz prikupljenih peludnih zrnaca. Rezultati provedenih probnih analiza ukazuju na potrebu za daljnjom optimizacijom protokola kako bi se dobila dovoljna količina DNA odgovarajuće kvalitete za sekvenciranje. U</w:t>
      </w:r>
      <w:r w:rsidRPr="007C3562">
        <w:rPr>
          <w:lang w:val="hr-BA"/>
        </w:rPr>
        <w:t xml:space="preserve">zorkovanje propolisa provodilo se na području Istarske županije u periodu od 15. travnja do 15. listopada 2023. godine na 40 različitih </w:t>
      </w:r>
      <w:r w:rsidRPr="007C3562">
        <w:rPr>
          <w:lang w:val="hr-BA"/>
        </w:rPr>
        <w:lastRenderedPageBreak/>
        <w:t>lokacija. Nakon svakog uzorkovanja sirovi propolis skladištio se u zamrzivaču na -18 °C do ekstrakcije. Trajanje ekstrakcije je 40 dana, a nakon toga je provedena filtracija iste smjese. Ukupni fenolni spojevi određeni su prilagođenom spektrofotometrijskom metodom. Rezultati analize su pokazali značajnu razliku u sadržaju ukupnih fenolnih spojeva između uzoraka propolisa prikupljenih na pojedinim lokacijama i u različito doba godine.</w:t>
      </w:r>
      <w:r w:rsidRPr="007C3562">
        <w:t xml:space="preserve"> </w:t>
      </w:r>
      <w:r w:rsidRPr="007C3562">
        <w:rPr>
          <w:lang w:val="hr-BA"/>
        </w:rPr>
        <w:t xml:space="preserve">Kako bi se stvorila jasnija slika o potencijalnim pozitivnim biološkim učincima propolisa, no ujedno i negativnim učincima (prisutnost toksičnih elemenata) uzrokovanim antropogenim djelovanjem, potreban je daljnje istraživanje. </w:t>
      </w:r>
      <w:r w:rsidRPr="007C3562">
        <w:rPr>
          <w:color w:val="000000"/>
        </w:rPr>
        <w:t xml:space="preserve">Tijekom razdoblja provedbe monitoringa pamučaste štitaste uši </w:t>
      </w:r>
      <w:r w:rsidRPr="007C3562">
        <w:rPr>
          <w:i/>
          <w:color w:val="000000"/>
        </w:rPr>
        <w:t>T. japonica</w:t>
      </w:r>
      <w:r w:rsidRPr="007C3562">
        <w:rPr>
          <w:color w:val="000000"/>
        </w:rPr>
        <w:t xml:space="preserve"> na području Istarske županije izvršen je terenski monitoring biljnih vrsta i ranije zabilježenih lokacija napadnutih stabala. Na području grada Pule osim na sedam ranije detektiranih lokacija, odnosno stabala, pronađene su još četiri nove lokacije na kojima su stablašice zaražene ovim nametnikom, dok su na području Medulina ustanovljene tri lokacije zaraženih stabala. Ova invazivna vrsta očito širi svoj areal na području južne Istre te se na temelju ovog monitoringa, tijekom 2024. godine planira provesti sustavno suzbijanje s ciljem rane eradikacije ove invazivne vrste.</w:t>
      </w:r>
    </w:p>
    <w:p w14:paraId="50B12584" w14:textId="77777777" w:rsidR="00AA0281" w:rsidRDefault="00AA0281" w:rsidP="00AA0281">
      <w:pPr>
        <w:rPr>
          <w:rFonts w:ascii="Arial" w:hAnsi="Arial" w:cs="Arial"/>
          <w:color w:val="FF0000"/>
        </w:rPr>
      </w:pPr>
    </w:p>
    <w:p w14:paraId="67EDECFE" w14:textId="77777777" w:rsidR="00E40F5E" w:rsidRDefault="00E40F5E" w:rsidP="00AA0281">
      <w:pPr>
        <w:rPr>
          <w:rFonts w:ascii="Arial" w:hAnsi="Arial" w:cs="Arial"/>
          <w:color w:val="FF0000"/>
        </w:rPr>
      </w:pPr>
    </w:p>
    <w:p w14:paraId="57C55245" w14:textId="77777777" w:rsidR="00F74977" w:rsidRPr="00F3626C" w:rsidRDefault="00F74977" w:rsidP="00AA0281">
      <w:pPr>
        <w:rPr>
          <w:rFonts w:ascii="Arial" w:hAnsi="Arial" w:cs="Arial"/>
          <w:color w:val="FF0000"/>
        </w:rPr>
      </w:pPr>
    </w:p>
    <w:p w14:paraId="36F91BDC" w14:textId="77777777" w:rsidR="00AA0281" w:rsidRPr="00952434" w:rsidRDefault="00AA0281" w:rsidP="00AA0281">
      <w:pPr>
        <w:pStyle w:val="ListParagraph"/>
        <w:numPr>
          <w:ilvl w:val="0"/>
          <w:numId w:val="27"/>
        </w:numPr>
        <w:rPr>
          <w:rFonts w:ascii="Arial" w:hAnsi="Arial" w:cs="Arial"/>
          <w:b/>
          <w:u w:val="single"/>
        </w:rPr>
      </w:pPr>
      <w:r w:rsidRPr="00952434">
        <w:rPr>
          <w:rFonts w:ascii="Arial" w:hAnsi="Arial" w:cs="Arial"/>
          <w:b/>
          <w:u w:val="single"/>
        </w:rPr>
        <w:t>PROGRAM: PLAN ZA ZDRAVLJE I SOCIJALNO BLAGOSTANJE</w:t>
      </w:r>
    </w:p>
    <w:p w14:paraId="7E013A07" w14:textId="77777777" w:rsidR="00AA0281" w:rsidRDefault="00AA0281" w:rsidP="00AA0281">
      <w:pPr>
        <w:pStyle w:val="NoSpacing"/>
        <w:jc w:val="both"/>
        <w:rPr>
          <w:rFonts w:ascii="Arial" w:hAnsi="Arial" w:cs="Arial"/>
          <w:b/>
          <w:bCs/>
          <w:sz w:val="22"/>
          <w:szCs w:val="22"/>
        </w:rPr>
      </w:pPr>
    </w:p>
    <w:p w14:paraId="101C1A1A" w14:textId="77777777" w:rsidR="00AA0281" w:rsidRPr="00952434" w:rsidRDefault="00AA0281" w:rsidP="00AA0281">
      <w:pPr>
        <w:pStyle w:val="NoSpacing"/>
        <w:numPr>
          <w:ilvl w:val="1"/>
          <w:numId w:val="27"/>
        </w:numPr>
        <w:jc w:val="both"/>
        <w:rPr>
          <w:rFonts w:ascii="Arial" w:hAnsi="Arial" w:cs="Arial"/>
          <w:b/>
          <w:bCs/>
          <w:sz w:val="22"/>
          <w:szCs w:val="22"/>
        </w:rPr>
      </w:pPr>
      <w:r w:rsidRPr="00952434">
        <w:rPr>
          <w:rFonts w:ascii="Arial" w:hAnsi="Arial" w:cs="Arial"/>
          <w:b/>
          <w:bCs/>
          <w:sz w:val="22"/>
          <w:szCs w:val="22"/>
        </w:rPr>
        <w:t>AKTIVNOST: Mentalno zdravlje</w:t>
      </w:r>
    </w:p>
    <w:p w14:paraId="21221F27" w14:textId="77777777" w:rsidR="00AA0281" w:rsidRPr="00952434" w:rsidRDefault="00AA0281" w:rsidP="00AA0281">
      <w:pPr>
        <w:pStyle w:val="NoSpacing"/>
        <w:jc w:val="both"/>
        <w:rPr>
          <w:rFonts w:ascii="Arial" w:hAnsi="Arial" w:cs="Arial"/>
          <w:sz w:val="22"/>
          <w:szCs w:val="22"/>
        </w:rPr>
      </w:pPr>
    </w:p>
    <w:p w14:paraId="3511EE7D" w14:textId="77777777" w:rsidR="00AA0281" w:rsidRPr="007C3562" w:rsidRDefault="00AA0281" w:rsidP="00AA0281">
      <w:pPr>
        <w:pStyle w:val="NoSpacing"/>
        <w:numPr>
          <w:ilvl w:val="0"/>
          <w:numId w:val="34"/>
        </w:numPr>
        <w:jc w:val="both"/>
        <w:rPr>
          <w:szCs w:val="24"/>
        </w:rPr>
      </w:pPr>
      <w:r w:rsidRPr="007C3562">
        <w:rPr>
          <w:b/>
          <w:color w:val="000000"/>
          <w:szCs w:val="24"/>
        </w:rPr>
        <w:t xml:space="preserve">Obrazloženje: </w:t>
      </w:r>
      <w:r w:rsidRPr="007C3562">
        <w:rPr>
          <w:szCs w:val="24"/>
        </w:rPr>
        <w:t xml:space="preserve">Uključuje podaktivnost Zaštita i očuvanje mentalnog zdravlja i podaktivnost Prevencija i izvanbolničko liječenje ovisnosti. Istarska županija već godinama ima relativno visoku stopu konzumenata droga i liječenih ovisnika koji su uključeni u tretman u odnosu na ukupan broj konzumenata/ovisnika te stoga, sredstva koja se ugovaraju s nadležnim nacionalnim tijelima ne zadovoljavaju potrebe za liječenjem i tretmanom, već je neophodno osigurati dodatne kadrove i financijska sredstva. Također, iz godine u godinu vidljiv je trend rasta broja osoba koje se javljaju zbog smetnji s područja mentalnog zdravlja. Nastavit će se s izradom web stranice koja će sadržavati potrebne resurse usmjerene na zaštitu mentalnog zdravlja namjenjene školama Provodit će se preventivne aktivnosti (tribine i predavanja) za učenike, roditelje i stručnjake koji rade s djecom i mladima, organizirati javne preventivne aktivnosti prilikom obilježavanja Međunarodnog dana borbe protiv ovisnosti i Mjeseca borbe protiv ovisnosti. Provodit će se izvanbolničko liječenje ovisnosti kod ovisnika ili konzumenata droga te članova obitelji, uvođenje i supervizija terapije, praćenje i kontrola apstinencije, zaštitno – preventivni programi za spolno i krvno prenosive bolesti (hepatitis, HIV, sifilis) te programi resocijalizacije liječenih ovisnika, ali i epidemiološko praćenje pojavnosti ovisnosti. Provodit će se i podaktivnosti: Zajedno za zdravo odrastanje, Samopoimanje djece i mladih - predavanje za roditelje i Trijažno psihologijsko testiranje za učenike V raz.OŠ, za koje financijska sredstva osigurava Grad Pula. </w:t>
      </w:r>
    </w:p>
    <w:p w14:paraId="703462FF" w14:textId="77777777" w:rsidR="00523E00" w:rsidRPr="007C3562" w:rsidRDefault="00523E00" w:rsidP="00AA0281">
      <w:pPr>
        <w:rPr>
          <w:b/>
        </w:rPr>
      </w:pPr>
    </w:p>
    <w:p w14:paraId="60E631BD" w14:textId="77777777" w:rsidR="00E40F5E" w:rsidRDefault="00E40F5E">
      <w:pPr>
        <w:spacing w:after="160" w:line="259" w:lineRule="auto"/>
        <w:rPr>
          <w:b/>
        </w:rPr>
      </w:pPr>
      <w:r>
        <w:rPr>
          <w:b/>
        </w:rPr>
        <w:br w:type="page"/>
      </w:r>
    </w:p>
    <w:p w14:paraId="50A752FF" w14:textId="2DA9A9DC" w:rsidR="00AA0281" w:rsidRPr="007C3562" w:rsidRDefault="00AA0281" w:rsidP="00AA0281">
      <w:pPr>
        <w:pStyle w:val="ListParagraph"/>
        <w:numPr>
          <w:ilvl w:val="0"/>
          <w:numId w:val="29"/>
        </w:numPr>
        <w:rPr>
          <w:b/>
        </w:rPr>
      </w:pPr>
      <w:r w:rsidRPr="007C3562">
        <w:rPr>
          <w:b/>
        </w:rPr>
        <w:lastRenderedPageBreak/>
        <w:t>Cilj uspješnosti</w:t>
      </w:r>
    </w:p>
    <w:p w14:paraId="3E27F23A" w14:textId="77777777" w:rsidR="00AA0281" w:rsidRDefault="00AA0281" w:rsidP="00AA0281">
      <w:pPr>
        <w:ind w:left="360"/>
      </w:pPr>
    </w:p>
    <w:tbl>
      <w:tblPr>
        <w:tblW w:w="9116" w:type="dxa"/>
        <w:tblInd w:w="93" w:type="dxa"/>
        <w:tblLook w:val="04A0" w:firstRow="1" w:lastRow="0" w:firstColumn="1" w:lastColumn="0" w:noHBand="0" w:noVBand="1"/>
      </w:tblPr>
      <w:tblGrid>
        <w:gridCol w:w="2860"/>
        <w:gridCol w:w="2380"/>
        <w:gridCol w:w="2380"/>
        <w:gridCol w:w="1496"/>
      </w:tblGrid>
      <w:tr w:rsidR="00AA0281" w:rsidRPr="00C2138A" w14:paraId="0FB12043" w14:textId="77777777" w:rsidTr="001B06BF">
        <w:trPr>
          <w:trHeight w:val="30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1D848300"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FA24800"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1185806F" w14:textId="77777777" w:rsidTr="001B06BF">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192F7259"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4C428929"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2F94D904"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7C56303D" w14:textId="0672A362"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B06BF" w:rsidRPr="000E330E">
              <w:rPr>
                <w:rFonts w:ascii="Arial Narrow" w:hAnsi="Arial Narrow" w:cs="Calibri"/>
                <w:b/>
                <w:bCs/>
                <w:sz w:val="18"/>
                <w:szCs w:val="18"/>
                <w:lang w:eastAsia="hr-HR"/>
              </w:rPr>
              <w:t>-OSIGURANA SREDSTVA U PRORAČUNU IŽ</w:t>
            </w:r>
          </w:p>
        </w:tc>
      </w:tr>
      <w:tr w:rsidR="00AA0281" w:rsidRPr="00AA0F33" w14:paraId="6F8FED5B" w14:textId="77777777" w:rsidTr="001B06BF">
        <w:trPr>
          <w:trHeight w:val="98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99CE7EF" w14:textId="77777777" w:rsidR="00AA0281" w:rsidRPr="00C27ADB" w:rsidRDefault="00AA0281" w:rsidP="007B5AFD">
            <w:pPr>
              <w:rPr>
                <w:rFonts w:ascii="Arial Narrow" w:hAnsi="Arial Narrow" w:cs="Calibri"/>
                <w:sz w:val="20"/>
                <w:szCs w:val="20"/>
                <w:lang w:eastAsia="hr-HR"/>
              </w:rPr>
            </w:pPr>
            <w:r w:rsidRPr="00C27ADB">
              <w:rPr>
                <w:rFonts w:ascii="Arial Narrow" w:hAnsi="Arial Narrow" w:cs="Calibri"/>
                <w:sz w:val="20"/>
                <w:szCs w:val="20"/>
                <w:lang w:eastAsia="hr-HR"/>
              </w:rPr>
              <w:t>2.2.6. Unaprjeđenje programa prevencije i ranog otkrivanja bolesti</w:t>
            </w:r>
          </w:p>
        </w:tc>
        <w:tc>
          <w:tcPr>
            <w:tcW w:w="2380" w:type="dxa"/>
            <w:tcBorders>
              <w:top w:val="nil"/>
              <w:left w:val="nil"/>
              <w:bottom w:val="single" w:sz="4" w:space="0" w:color="auto"/>
              <w:right w:val="single" w:sz="4" w:space="0" w:color="auto"/>
            </w:tcBorders>
            <w:shd w:val="clear" w:color="auto" w:fill="auto"/>
            <w:vAlign w:val="center"/>
            <w:hideMark/>
          </w:tcPr>
          <w:p w14:paraId="237A8BDA" w14:textId="77777777" w:rsidR="00AA0281" w:rsidRPr="00C27ADB" w:rsidRDefault="00AA0281" w:rsidP="007B5AFD">
            <w:pPr>
              <w:rPr>
                <w:rFonts w:ascii="Arial Narrow" w:hAnsi="Arial Narrow" w:cs="Calibri"/>
                <w:sz w:val="20"/>
                <w:szCs w:val="20"/>
                <w:lang w:eastAsia="hr-HR"/>
              </w:rPr>
            </w:pPr>
            <w:r w:rsidRPr="00C27ADB">
              <w:rPr>
                <w:rFonts w:ascii="Arial Narrow" w:hAnsi="Arial Narrow" w:cs="Calibri"/>
                <w:sz w:val="20"/>
                <w:szCs w:val="20"/>
                <w:lang w:eastAsia="hr-HR"/>
              </w:rPr>
              <w:t>6101 Plan za zdravlje i socijalno blagostanje</w:t>
            </w:r>
          </w:p>
        </w:tc>
        <w:tc>
          <w:tcPr>
            <w:tcW w:w="2380" w:type="dxa"/>
            <w:tcBorders>
              <w:top w:val="nil"/>
              <w:left w:val="nil"/>
              <w:bottom w:val="single" w:sz="4" w:space="0" w:color="auto"/>
              <w:right w:val="single" w:sz="4" w:space="0" w:color="auto"/>
            </w:tcBorders>
            <w:shd w:val="clear" w:color="auto" w:fill="auto"/>
            <w:vAlign w:val="center"/>
            <w:hideMark/>
          </w:tcPr>
          <w:p w14:paraId="2F53DD5F" w14:textId="77777777" w:rsidR="00AA0281" w:rsidRPr="00C27ADB" w:rsidRDefault="00AA0281" w:rsidP="007B5AFD">
            <w:pPr>
              <w:rPr>
                <w:rFonts w:ascii="Arial Narrow" w:hAnsi="Arial Narrow" w:cs="Calibri"/>
                <w:sz w:val="20"/>
                <w:szCs w:val="20"/>
                <w:lang w:eastAsia="hr-HR"/>
              </w:rPr>
            </w:pPr>
            <w:r w:rsidRPr="00C27ADB">
              <w:rPr>
                <w:rFonts w:ascii="Arial Narrow" w:hAnsi="Arial Narrow" w:cs="Calibri"/>
                <w:sz w:val="20"/>
                <w:szCs w:val="20"/>
                <w:lang w:eastAsia="hr-HR"/>
              </w:rPr>
              <w:t xml:space="preserve">A610145 Mentalno zdravlje djece, mladih i obitelji; </w:t>
            </w:r>
          </w:p>
        </w:tc>
        <w:tc>
          <w:tcPr>
            <w:tcW w:w="1496" w:type="dxa"/>
            <w:tcBorders>
              <w:top w:val="nil"/>
              <w:left w:val="nil"/>
              <w:bottom w:val="single" w:sz="4" w:space="0" w:color="auto"/>
              <w:right w:val="single" w:sz="4" w:space="0" w:color="auto"/>
            </w:tcBorders>
            <w:shd w:val="clear" w:color="auto" w:fill="auto"/>
            <w:noWrap/>
            <w:vAlign w:val="center"/>
          </w:tcPr>
          <w:p w14:paraId="3F6061AD" w14:textId="77777777" w:rsidR="00AA0281" w:rsidRPr="00C27ADB" w:rsidRDefault="00AA0281" w:rsidP="007B5AFD">
            <w:pPr>
              <w:jc w:val="center"/>
              <w:rPr>
                <w:rFonts w:ascii="Arial Narrow" w:hAnsi="Arial Narrow" w:cs="Calibri"/>
                <w:sz w:val="20"/>
                <w:szCs w:val="20"/>
                <w:lang w:eastAsia="hr-HR"/>
              </w:rPr>
            </w:pPr>
            <w:r w:rsidRPr="00C27ADB">
              <w:rPr>
                <w:rFonts w:ascii="Arial Narrow" w:hAnsi="Arial Narrow" w:cs="Calibri"/>
                <w:sz w:val="20"/>
                <w:szCs w:val="20"/>
                <w:lang w:eastAsia="hr-HR"/>
              </w:rPr>
              <w:t>105.761,19 EUR</w:t>
            </w:r>
          </w:p>
        </w:tc>
      </w:tr>
    </w:tbl>
    <w:p w14:paraId="7A0F112C" w14:textId="77777777" w:rsidR="00E40F5E" w:rsidRDefault="00E40F5E" w:rsidP="00E40F5E">
      <w:pPr>
        <w:pStyle w:val="ListParagraph"/>
        <w:ind w:left="360"/>
        <w:rPr>
          <w:b/>
        </w:rPr>
      </w:pPr>
      <w:bookmarkStart w:id="9" w:name="_Hlk160531701"/>
    </w:p>
    <w:p w14:paraId="12F91EA6" w14:textId="77777777" w:rsidR="00AA0281" w:rsidRPr="007C3562" w:rsidRDefault="00AA0281" w:rsidP="00AA0281">
      <w:pPr>
        <w:pStyle w:val="ListParagraph"/>
        <w:numPr>
          <w:ilvl w:val="0"/>
          <w:numId w:val="28"/>
        </w:numPr>
        <w:rPr>
          <w:b/>
        </w:rPr>
      </w:pPr>
      <w:r w:rsidRPr="007C3562">
        <w:rPr>
          <w:b/>
        </w:rPr>
        <w:t>Pokazatelji uspješnosti</w:t>
      </w:r>
    </w:p>
    <w:p w14:paraId="7A1971AF" w14:textId="77777777" w:rsidR="00AA0281" w:rsidRPr="007C3562" w:rsidRDefault="00AA0281" w:rsidP="00AA0281">
      <w:pPr>
        <w:ind w:left="360"/>
        <w:rPr>
          <w:b/>
        </w:rPr>
      </w:pPr>
    </w:p>
    <w:tbl>
      <w:tblPr>
        <w:tblW w:w="8969" w:type="dxa"/>
        <w:tblInd w:w="93" w:type="dxa"/>
        <w:tblLook w:val="04A0" w:firstRow="1" w:lastRow="0" w:firstColumn="1" w:lastColumn="0" w:noHBand="0" w:noVBand="1"/>
      </w:tblPr>
      <w:tblGrid>
        <w:gridCol w:w="4861"/>
        <w:gridCol w:w="1108"/>
        <w:gridCol w:w="1079"/>
        <w:gridCol w:w="1921"/>
      </w:tblGrid>
      <w:tr w:rsidR="00AA0281" w:rsidRPr="00C2138A" w14:paraId="25C4F9BF" w14:textId="77777777" w:rsidTr="007B5AFD">
        <w:trPr>
          <w:trHeight w:val="480"/>
        </w:trPr>
        <w:tc>
          <w:tcPr>
            <w:tcW w:w="4861" w:type="dxa"/>
            <w:tcBorders>
              <w:top w:val="single" w:sz="4" w:space="0" w:color="auto"/>
              <w:left w:val="single" w:sz="4" w:space="0" w:color="auto"/>
              <w:bottom w:val="single" w:sz="4" w:space="0" w:color="auto"/>
              <w:right w:val="nil"/>
            </w:tcBorders>
            <w:shd w:val="clear" w:color="000000" w:fill="F2F2F2"/>
            <w:vAlign w:val="center"/>
            <w:hideMark/>
          </w:tcPr>
          <w:p w14:paraId="3D2B4D4C"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4126DD"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7B7CC658"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921" w:type="dxa"/>
            <w:tcBorders>
              <w:top w:val="single" w:sz="4" w:space="0" w:color="auto"/>
              <w:left w:val="nil"/>
              <w:bottom w:val="single" w:sz="4" w:space="0" w:color="auto"/>
              <w:right w:val="single" w:sz="4" w:space="0" w:color="auto"/>
            </w:tcBorders>
            <w:shd w:val="clear" w:color="000000" w:fill="F2F2F2"/>
            <w:noWrap/>
            <w:vAlign w:val="center"/>
            <w:hideMark/>
          </w:tcPr>
          <w:p w14:paraId="7CD22AE8"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C2138A" w14:paraId="5C894EF2" w14:textId="77777777" w:rsidTr="007B5AFD">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DEAC8" w14:textId="77777777" w:rsidR="00AA0281" w:rsidRPr="00C27ADB" w:rsidRDefault="00AA0281" w:rsidP="007B5AFD">
            <w:pPr>
              <w:rPr>
                <w:rFonts w:ascii="Arial Narrow" w:hAnsi="Arial Narrow" w:cs="Calibri"/>
                <w:bCs/>
                <w:color w:val="000000"/>
                <w:sz w:val="20"/>
                <w:szCs w:val="20"/>
                <w:lang w:eastAsia="hr-HR"/>
              </w:rPr>
            </w:pPr>
            <w:r w:rsidRPr="00C27ADB">
              <w:rPr>
                <w:rFonts w:ascii="Arial Narrow" w:hAnsi="Arial Narrow" w:cs="Calibri"/>
                <w:bCs/>
                <w:color w:val="000000"/>
                <w:sz w:val="20"/>
                <w:szCs w:val="20"/>
                <w:lang w:eastAsia="hr-HR"/>
              </w:rPr>
              <w:t>Broj ovisnika i konzumenata droga u tretmanu</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7B14BEB0"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549</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65E46371"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550</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05C7C97C" w14:textId="77777777" w:rsidR="00AA0281" w:rsidRPr="00C27ADB" w:rsidRDefault="00AA0281" w:rsidP="007B5AFD">
            <w:pPr>
              <w:jc w:val="center"/>
              <w:rPr>
                <w:rFonts w:ascii="Arial Narrow" w:hAnsi="Arial Narrow" w:cs="Calibri"/>
                <w:bCs/>
                <w:color w:val="FF0000"/>
                <w:sz w:val="20"/>
                <w:szCs w:val="20"/>
                <w:lang w:eastAsia="hr-HR"/>
              </w:rPr>
            </w:pPr>
            <w:r w:rsidRPr="00C27ADB">
              <w:rPr>
                <w:rFonts w:ascii="Arial Narrow" w:hAnsi="Arial Narrow" w:cs="Calibri"/>
                <w:bCs/>
                <w:sz w:val="20"/>
                <w:szCs w:val="20"/>
                <w:lang w:eastAsia="hr-HR"/>
              </w:rPr>
              <w:t>544</w:t>
            </w:r>
          </w:p>
        </w:tc>
      </w:tr>
      <w:tr w:rsidR="00AA0281" w:rsidRPr="00C2138A" w14:paraId="741226EA" w14:textId="77777777" w:rsidTr="007B5AFD">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7CE6" w14:textId="77777777" w:rsidR="00AA0281" w:rsidRPr="00C27ADB" w:rsidRDefault="00AA0281" w:rsidP="007B5AFD">
            <w:pPr>
              <w:rPr>
                <w:rFonts w:ascii="Arial Narrow" w:hAnsi="Arial Narrow" w:cs="Calibri"/>
                <w:bCs/>
                <w:color w:val="000000"/>
                <w:sz w:val="20"/>
                <w:szCs w:val="20"/>
                <w:lang w:eastAsia="hr-HR"/>
              </w:rPr>
            </w:pPr>
            <w:r w:rsidRPr="00C27ADB">
              <w:rPr>
                <w:rFonts w:ascii="Arial Narrow" w:hAnsi="Arial Narrow" w:cs="Calibri"/>
                <w:bCs/>
                <w:color w:val="000000"/>
                <w:sz w:val="20"/>
                <w:szCs w:val="20"/>
                <w:lang w:eastAsia="hr-HR"/>
              </w:rPr>
              <w:t>Broj novoevidentiranih ovisnika i konzumenata droga</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00123503"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49</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55886312"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50</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6C4D7F1B" w14:textId="77777777" w:rsidR="00AA0281" w:rsidRPr="00C27ADB" w:rsidRDefault="00AA0281" w:rsidP="007B5AFD">
            <w:pPr>
              <w:jc w:val="center"/>
              <w:rPr>
                <w:rFonts w:ascii="Arial Narrow" w:hAnsi="Arial Narrow" w:cs="Calibri"/>
                <w:bCs/>
                <w:color w:val="FF0000"/>
                <w:sz w:val="20"/>
                <w:szCs w:val="20"/>
                <w:lang w:eastAsia="hr-HR"/>
              </w:rPr>
            </w:pPr>
            <w:r w:rsidRPr="00C27ADB">
              <w:rPr>
                <w:rFonts w:ascii="Arial Narrow" w:hAnsi="Arial Narrow" w:cs="Calibri"/>
                <w:bCs/>
                <w:sz w:val="20"/>
                <w:szCs w:val="20"/>
                <w:lang w:eastAsia="hr-HR"/>
              </w:rPr>
              <w:t>43</w:t>
            </w:r>
          </w:p>
        </w:tc>
      </w:tr>
      <w:tr w:rsidR="00AA0281" w:rsidRPr="00C2138A" w14:paraId="50D111D0" w14:textId="77777777" w:rsidTr="007B5AFD">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BE5CD" w14:textId="77777777" w:rsidR="00AA0281" w:rsidRPr="00C27ADB" w:rsidRDefault="00AA0281" w:rsidP="007B5AFD">
            <w:pPr>
              <w:rPr>
                <w:rFonts w:ascii="Arial Narrow" w:hAnsi="Arial Narrow" w:cs="Calibri"/>
                <w:bCs/>
                <w:color w:val="000000"/>
                <w:sz w:val="20"/>
                <w:szCs w:val="20"/>
                <w:lang w:eastAsia="hr-HR"/>
              </w:rPr>
            </w:pPr>
            <w:r w:rsidRPr="00C27ADB">
              <w:rPr>
                <w:rFonts w:ascii="Arial Narrow" w:hAnsi="Arial Narrow" w:cs="Calibri"/>
                <w:bCs/>
                <w:color w:val="000000"/>
                <w:sz w:val="20"/>
                <w:szCs w:val="20"/>
                <w:lang w:eastAsia="hr-HR"/>
              </w:rPr>
              <w:t>Broj osoba koje su se javile u tretman zbog poteškoća s mentalnim zdravljem</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015BE0FD"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1.032</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3CD2F299"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1.000</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03B1A344"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1.258</w:t>
            </w:r>
          </w:p>
        </w:tc>
      </w:tr>
      <w:tr w:rsidR="00AA0281" w:rsidRPr="00C2138A" w14:paraId="0C3D4927" w14:textId="77777777" w:rsidTr="007B5AFD">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5358C" w14:textId="77777777" w:rsidR="00AA0281" w:rsidRPr="00C27ADB" w:rsidRDefault="00AA0281" w:rsidP="007B5AFD">
            <w:pPr>
              <w:rPr>
                <w:rFonts w:ascii="Arial Narrow" w:hAnsi="Arial Narrow" w:cs="Calibri"/>
                <w:bCs/>
                <w:color w:val="000000"/>
                <w:sz w:val="20"/>
                <w:szCs w:val="20"/>
                <w:lang w:eastAsia="hr-HR"/>
              </w:rPr>
            </w:pPr>
            <w:r w:rsidRPr="00C27ADB">
              <w:rPr>
                <w:rFonts w:ascii="Arial Narrow" w:hAnsi="Arial Narrow" w:cs="Calibri"/>
                <w:bCs/>
                <w:color w:val="000000"/>
                <w:sz w:val="20"/>
                <w:szCs w:val="20"/>
                <w:lang w:eastAsia="hr-HR"/>
              </w:rPr>
              <w:t>Broj testiranih osoba na krvno prenosive bolesti</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000425AA"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49</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3A258A27"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70</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4D31D821"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57</w:t>
            </w:r>
          </w:p>
        </w:tc>
      </w:tr>
      <w:tr w:rsidR="00AA0281" w:rsidRPr="00C2138A" w14:paraId="325815A2" w14:textId="77777777" w:rsidTr="007B5AFD">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C0482" w14:textId="77777777" w:rsidR="00AA0281" w:rsidRPr="00C27ADB" w:rsidRDefault="00AA0281" w:rsidP="007B5AFD">
            <w:pPr>
              <w:rPr>
                <w:rFonts w:ascii="Arial Narrow" w:hAnsi="Arial Narrow" w:cs="Calibri"/>
                <w:bCs/>
                <w:color w:val="000000"/>
                <w:sz w:val="20"/>
                <w:szCs w:val="20"/>
                <w:lang w:eastAsia="hr-HR"/>
              </w:rPr>
            </w:pPr>
            <w:r w:rsidRPr="00C27ADB">
              <w:rPr>
                <w:rFonts w:ascii="Arial Narrow" w:hAnsi="Arial Narrow" w:cs="Calibri"/>
                <w:bCs/>
                <w:sz w:val="20"/>
                <w:szCs w:val="20"/>
                <w:lang w:eastAsia="hr-HR"/>
              </w:rPr>
              <w:t>Broj djelatnika u zdravstvu uključenih u program</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01B5B091"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32436D23"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15</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5FBEB5FA"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35</w:t>
            </w:r>
          </w:p>
        </w:tc>
      </w:tr>
      <w:tr w:rsidR="00AA0281" w:rsidRPr="00C2138A" w14:paraId="69731848" w14:textId="77777777" w:rsidTr="007B5AFD">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2AB36" w14:textId="77777777" w:rsidR="00AA0281" w:rsidRPr="00C27ADB" w:rsidRDefault="00AA0281" w:rsidP="007B5AFD">
            <w:pPr>
              <w:rPr>
                <w:rFonts w:ascii="Arial Narrow" w:hAnsi="Arial Narrow" w:cs="Calibri"/>
                <w:bCs/>
                <w:color w:val="000000"/>
                <w:sz w:val="20"/>
                <w:szCs w:val="20"/>
                <w:lang w:eastAsia="hr-HR"/>
              </w:rPr>
            </w:pPr>
            <w:r w:rsidRPr="00C27ADB">
              <w:rPr>
                <w:rFonts w:ascii="Arial Narrow" w:hAnsi="Arial Narrow" w:cs="Calibri"/>
                <w:bCs/>
                <w:color w:val="000000"/>
                <w:sz w:val="20"/>
                <w:szCs w:val="20"/>
                <w:lang w:eastAsia="hr-HR"/>
              </w:rPr>
              <w:t xml:space="preserve">Broj održanih tribina i predavanja za roditelje i stručnjake </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30AF1BC6"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8</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48C936CC"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15</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6A480EF7" w14:textId="77777777" w:rsidR="00AA0281" w:rsidRPr="00C27ADB" w:rsidRDefault="00AA0281" w:rsidP="007B5AFD">
            <w:pPr>
              <w:jc w:val="center"/>
              <w:rPr>
                <w:rFonts w:ascii="Arial Narrow" w:hAnsi="Arial Narrow" w:cs="Calibri"/>
                <w:bCs/>
                <w:sz w:val="20"/>
                <w:szCs w:val="20"/>
                <w:highlight w:val="yellow"/>
                <w:lang w:eastAsia="hr-HR"/>
              </w:rPr>
            </w:pPr>
            <w:r w:rsidRPr="00C27ADB">
              <w:rPr>
                <w:rFonts w:ascii="Arial Narrow" w:hAnsi="Arial Narrow" w:cs="Calibri"/>
                <w:bCs/>
                <w:sz w:val="20"/>
                <w:szCs w:val="20"/>
                <w:lang w:eastAsia="hr-HR"/>
              </w:rPr>
              <w:t>23</w:t>
            </w:r>
          </w:p>
        </w:tc>
      </w:tr>
      <w:tr w:rsidR="00AA0281" w:rsidRPr="00C2138A" w14:paraId="08E52538" w14:textId="77777777" w:rsidTr="007B5AFD">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77A56" w14:textId="77777777" w:rsidR="00AA0281" w:rsidRPr="00C27ADB" w:rsidRDefault="00AA0281" w:rsidP="007B5AFD">
            <w:pPr>
              <w:rPr>
                <w:rFonts w:ascii="Arial Narrow" w:hAnsi="Arial Narrow" w:cs="Calibri"/>
                <w:bCs/>
                <w:color w:val="000000"/>
                <w:sz w:val="20"/>
                <w:szCs w:val="20"/>
                <w:lang w:eastAsia="hr-HR"/>
              </w:rPr>
            </w:pPr>
            <w:r w:rsidRPr="00C27ADB">
              <w:rPr>
                <w:rFonts w:ascii="Arial Narrow" w:hAnsi="Arial Narrow" w:cs="Calibri"/>
                <w:bCs/>
                <w:color w:val="000000"/>
                <w:sz w:val="20"/>
                <w:szCs w:val="20"/>
                <w:lang w:eastAsia="hr-HR"/>
              </w:rPr>
              <w:t>Broj učenika, roditelja i stručnjaka uključenih u edukaciju</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259D42EF"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926</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1D1D90E2" w14:textId="77777777" w:rsidR="00AA0281" w:rsidRPr="00C27ADB" w:rsidRDefault="00AA0281" w:rsidP="007B5AFD">
            <w:pPr>
              <w:jc w:val="center"/>
              <w:rPr>
                <w:rFonts w:ascii="Arial Narrow" w:hAnsi="Arial Narrow" w:cs="Calibri"/>
                <w:bCs/>
                <w:sz w:val="20"/>
                <w:szCs w:val="20"/>
                <w:highlight w:val="yellow"/>
                <w:lang w:eastAsia="hr-HR"/>
              </w:rPr>
            </w:pPr>
            <w:r w:rsidRPr="00C27ADB">
              <w:rPr>
                <w:rFonts w:ascii="Arial Narrow" w:hAnsi="Arial Narrow" w:cs="Calibri"/>
                <w:bCs/>
                <w:sz w:val="20"/>
                <w:szCs w:val="20"/>
                <w:lang w:eastAsia="hr-HR"/>
              </w:rPr>
              <w:t>700</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124C0193" w14:textId="77777777" w:rsidR="00AA0281" w:rsidRPr="00C27ADB" w:rsidRDefault="00AA0281" w:rsidP="007B5AFD">
            <w:pPr>
              <w:jc w:val="center"/>
              <w:rPr>
                <w:rFonts w:ascii="Arial Narrow" w:hAnsi="Arial Narrow" w:cs="Calibri"/>
                <w:bCs/>
                <w:sz w:val="20"/>
                <w:szCs w:val="20"/>
                <w:highlight w:val="yellow"/>
                <w:lang w:eastAsia="hr-HR"/>
              </w:rPr>
            </w:pPr>
            <w:r w:rsidRPr="00C27ADB">
              <w:rPr>
                <w:rFonts w:ascii="Arial Narrow" w:hAnsi="Arial Narrow" w:cs="Calibri"/>
                <w:bCs/>
                <w:sz w:val="20"/>
                <w:szCs w:val="20"/>
                <w:lang w:eastAsia="hr-HR"/>
              </w:rPr>
              <w:t>954</w:t>
            </w:r>
          </w:p>
        </w:tc>
      </w:tr>
      <w:bookmarkEnd w:id="9"/>
    </w:tbl>
    <w:p w14:paraId="59D18D64" w14:textId="77777777" w:rsidR="00AA0281" w:rsidRDefault="00AA0281" w:rsidP="00AA0281">
      <w:pPr>
        <w:rPr>
          <w:rFonts w:ascii="Arial" w:hAnsi="Arial"/>
          <w:b/>
        </w:rPr>
      </w:pPr>
    </w:p>
    <w:p w14:paraId="572A0A12" w14:textId="77777777" w:rsidR="00AA0281" w:rsidRPr="007C3562" w:rsidRDefault="00AA0281" w:rsidP="00AA0281">
      <w:pPr>
        <w:jc w:val="both"/>
        <w:rPr>
          <w:b/>
        </w:rPr>
      </w:pPr>
      <w:r w:rsidRPr="007C3562">
        <w:rPr>
          <w:b/>
        </w:rPr>
        <w:t>Izvještaj o postignutim ciljevima i rezultatima programa temeljenim na pokazateljima uspješnosti:</w:t>
      </w:r>
    </w:p>
    <w:p w14:paraId="02D13F17" w14:textId="77777777" w:rsidR="00AA0281" w:rsidRPr="007C3562" w:rsidRDefault="00AA0281" w:rsidP="00AA0281">
      <w:pPr>
        <w:jc w:val="both"/>
        <w:rPr>
          <w:lang w:eastAsia="hr-HR"/>
        </w:rPr>
      </w:pPr>
      <w:r w:rsidRPr="007C3562">
        <w:sym w:font="Wingdings" w:char="F077"/>
      </w:r>
      <w:r w:rsidRPr="007C3562">
        <w:t xml:space="preserve"> Podaktivnost: Zaštita i očuvanje mentalnog zdravlja </w:t>
      </w:r>
      <w:r w:rsidRPr="007C3562">
        <w:rPr>
          <w:rFonts w:eastAsia="Calibri"/>
        </w:rPr>
        <w:t xml:space="preserve">- </w:t>
      </w:r>
      <w:r w:rsidRPr="007C3562">
        <w:t>održano je 7 predavanja, 2 webinara i 1 trodnevna edukacija „Pomozi da“, s ukupno 451 sudionikom. Psiholog</w:t>
      </w:r>
      <w:r w:rsidRPr="00197477">
        <w:rPr>
          <w:rFonts w:ascii="Arial" w:hAnsi="Arial" w:cs="Arial"/>
        </w:rPr>
        <w:t xml:space="preserve"> Službe sudjelovao </w:t>
      </w:r>
      <w:r w:rsidRPr="007C3562">
        <w:t xml:space="preserve">je na 2 okrugla stola. </w:t>
      </w:r>
      <w:r w:rsidRPr="007C3562">
        <w:rPr>
          <w:lang w:eastAsia="ar-SA"/>
        </w:rPr>
        <w:t>Predstavljena je web stranica o mentalnom zdravlju kod djece i mladih u školama.</w:t>
      </w:r>
      <w:r w:rsidRPr="007C3562">
        <w:rPr>
          <w:rFonts w:eastAsia="Calibri"/>
        </w:rPr>
        <w:t xml:space="preserve"> Održano je 9 radionica za djelatnike u zdravstvu, a ciklus radionica sastojao se od 5 modula (jedanput tjedno) i radilo se sa dvije grupe, ukupno je obuhvaćeno 22 djelatnika Istarskih domova zdravlja. </w:t>
      </w:r>
      <w:r w:rsidRPr="007C3562">
        <w:t>U Službi se radilo s 1.258 osoba zbog problema mentalnog zdravlja, te s 405 članova obitelji. U tretman Služe uključilo se 35 djelatnika u zdravstvu i 16 članova njihovih obitelji.</w:t>
      </w:r>
    </w:p>
    <w:p w14:paraId="306E1412" w14:textId="77777777" w:rsidR="00AA0281" w:rsidRPr="007C3562" w:rsidRDefault="00AA0281" w:rsidP="00AA0281">
      <w:pPr>
        <w:suppressAutoHyphens/>
        <w:jc w:val="both"/>
        <w:rPr>
          <w:color w:val="FF0000"/>
          <w:szCs w:val="20"/>
          <w:lang w:eastAsia="ar-SA"/>
        </w:rPr>
      </w:pPr>
      <w:r w:rsidRPr="007C3562">
        <w:sym w:font="Wingdings" w:char="F077"/>
      </w:r>
      <w:r w:rsidRPr="007C3562">
        <w:t xml:space="preserve"> Podaktivnost: Prevencija i izvanbolničko liječenje ovisnosti – </w:t>
      </w:r>
      <w:r w:rsidRPr="007C3562">
        <w:rPr>
          <w:szCs w:val="20"/>
          <w:lang w:eastAsia="ar-SA"/>
        </w:rPr>
        <w:t xml:space="preserve">radilo se s ukupno 2.356 osobom, od toga zbog konzumacije droga s 544 osoba i 87 članova obitelji. Novoevidentiranih korisnika zbog konzumacije droga bilo je 43 (zbog ovisnosti o heroinu javilo se 10 osoba, zbog kokaina 5 osobe, 10 osoba zbog amfetamina, 16 osoba zbog marihuane i </w:t>
      </w:r>
      <w:r w:rsidRPr="007C3562">
        <w:t>2 osobe zbog ecstasyja</w:t>
      </w:r>
      <w:r w:rsidRPr="007C3562">
        <w:rPr>
          <w:szCs w:val="20"/>
          <w:lang w:eastAsia="ar-SA"/>
        </w:rPr>
        <w:t xml:space="preserve">). </w:t>
      </w:r>
      <w:r w:rsidRPr="007C3562">
        <w:t>Testirano je 57 osoba na krvno prenosive bolesti (hepatitis B, hepatitis C, HIV i sifilis), te je nađeno 18 pozitivnih na hepatitis C. 28 osoba je upućeno na liječenje, a 22 osobe su bile u procesu liječenja hepatitisa. Održana su dvije javnozdravstvene aktivnosti (štand i utrka), tri predstave, jedan webinar za stručnjake te 10 tribina za učenike i predavanje za roditelje u obliku webinara, 2 predavanja za stručnjake. Djelatnici Službe dvaput su sudjelovali na okruglom stolu i jedanput u panel raspravi.</w:t>
      </w:r>
      <w:r w:rsidRPr="007C3562">
        <w:rPr>
          <w:color w:val="FF0000"/>
          <w:szCs w:val="20"/>
          <w:lang w:eastAsia="ar-SA"/>
        </w:rPr>
        <w:t xml:space="preserve"> </w:t>
      </w:r>
    </w:p>
    <w:p w14:paraId="0A04D1A8" w14:textId="77777777" w:rsidR="00AA0281" w:rsidRPr="007C3562" w:rsidRDefault="00AA0281" w:rsidP="00AA0281">
      <w:pPr>
        <w:suppressAutoHyphens/>
        <w:jc w:val="both"/>
        <w:rPr>
          <w:color w:val="FF0000"/>
        </w:rPr>
      </w:pPr>
    </w:p>
    <w:p w14:paraId="75EBDFB6" w14:textId="77777777" w:rsidR="00AA0281" w:rsidRPr="007C3562" w:rsidRDefault="00AA0281" w:rsidP="00AA0281">
      <w:pPr>
        <w:jc w:val="both"/>
      </w:pPr>
      <w:r w:rsidRPr="007C3562">
        <w:sym w:font="Wingdings" w:char="F077"/>
      </w:r>
      <w:r w:rsidRPr="007C3562">
        <w:t xml:space="preserve"> Podaktivnost: Zajedno za zdravo odrastanje – provedeno je 9 tribina i jedno on line predavanje na kojima je ukupno sudjelovalo 301 osoba. Korisnici tribina bili su učenici prvih i drugih razreda 9 srednjih škola na području Grada Pule, ukupno njih 248. Učenici su na tribinama mogli čuti znanstvene činjenice o tome kako droge utječu na mozak, ljudsko </w:t>
      </w:r>
      <w:r w:rsidRPr="007C3562">
        <w:lastRenderedPageBreak/>
        <w:t xml:space="preserve">ponašanje i zdravlje, te koji su rizici eksperimentiranja s tim tvarima. Pored toga, mogli su s provoditeljima diskutirati o toj temi i iskazati svoje stavove i razmišljanja. Kako bi motivirali veći broj roditelja za sudjelovanje, odlučili smo se za on line provedbu predavanja za roditelje. Na ovaj način učinili smo predavanje dostupnijim, nije bilo potrebe za odlaskom u školu. Roditelji koji su se odazvali pozivu na on line predavanje (53 sudionika) bili su zainteresirani, najviše za rane znakove prepoznavanja konzumacije psihoaktivnih sredstava, te o postavljanju granica i nadzoru adolescenata. Kroz predavanja dobili su i informacije o uslugama koje nudi Služba za mentalno zdravlje i prevenciju ovisnosti. </w:t>
      </w:r>
    </w:p>
    <w:p w14:paraId="74F24678" w14:textId="77777777" w:rsidR="00AA0281" w:rsidRPr="007C3562" w:rsidRDefault="00AA0281" w:rsidP="00AA0281">
      <w:pPr>
        <w:jc w:val="both"/>
        <w:rPr>
          <w:color w:val="FF0000"/>
        </w:rPr>
      </w:pPr>
    </w:p>
    <w:p w14:paraId="0D866574" w14:textId="77777777" w:rsidR="00AA0281" w:rsidRPr="007C3562" w:rsidRDefault="00AA0281" w:rsidP="00AA0281">
      <w:pPr>
        <w:jc w:val="both"/>
      </w:pPr>
      <w:r w:rsidRPr="007C3562">
        <w:sym w:font="Wingdings" w:char="F077"/>
      </w:r>
      <w:r w:rsidRPr="007C3562">
        <w:t xml:space="preserve"> Podaktivnost: Emocionalne teškoće u dječjoj dobi – Održana su 4 predavanja u OŠ Šijana, OŠ „Centar“, OŠ „Kaštanjer“, OŠ „Veli Vrh“- područna škola Štinjan na temu „Emocionalne teškoće u dječjoj dobi“. Predavanje je poslušalo 66 djelatnika škola i 14 roditelja. Kroz razgovor, razmjenu iskustva u grupi obradili smo teme: anksioznost, teškoće prilagodbe, emocionalne teškoće kod djece te emocionalne poteškoće koje su posljedica cyber bullinga. Roditelji su dobili pisani materijal o postupanju ukoliko je njihovo dijete žrtva ili počinitelj cyber bullinga. Postoji stalna suradnja i  komunikacija vezano za djecu i roditelje koji pokazuju poteškoće s područja mentalnog zdravlja. U Službi za mentalno zdravlje su u nekoliko navrata bili stručni suradnici (pedagog, defektolog, učitelj razrednik) i pomoćnici u nastavi dviju osnovnih škola koji nemaju stalno zaposlenog psihologa.</w:t>
      </w:r>
    </w:p>
    <w:p w14:paraId="77EED05B" w14:textId="77777777" w:rsidR="00AA0281" w:rsidRPr="007C3562" w:rsidRDefault="00AA0281" w:rsidP="00AA0281">
      <w:pPr>
        <w:jc w:val="both"/>
        <w:rPr>
          <w:color w:val="FF0000"/>
        </w:rPr>
      </w:pPr>
    </w:p>
    <w:p w14:paraId="1FBC1C43" w14:textId="0D3B9CB9" w:rsidR="00AA0281" w:rsidRPr="00E40F5E" w:rsidRDefault="00AA0281" w:rsidP="00AA0281">
      <w:pPr>
        <w:jc w:val="both"/>
      </w:pPr>
      <w:r w:rsidRPr="00E40F5E">
        <w:sym w:font="Wingdings" w:char="F077"/>
      </w:r>
      <w:r w:rsidRPr="00E40F5E">
        <w:t xml:space="preserve"> Podaktivnost: Trijažno psihologijsko testiranje za učenike V raz.</w:t>
      </w:r>
      <w:r w:rsidR="00607FB4" w:rsidRPr="00E40F5E">
        <w:t xml:space="preserve"> </w:t>
      </w:r>
      <w:r w:rsidRPr="00E40F5E">
        <w:t>OŠ – Provedeno je kod 178 učenika petog i šestog razreda 7 osnovnih  škola Grada Pule. Na temelju dobivenih povratnih informacija  o važnim područjima mentalnog zdravlja svojih učenika, stručni suradnici su razgovarali s roditeljima. Roditelji djece sa mogućim rizičnim emocionalnim karakteristikama i iskustvima mogu se javiti radi razgovora i tretmana u našu Službu. U 2023. godini porastao je broj djece i mladih u tretmanu Službe u odnosu na ranije godine.</w:t>
      </w:r>
    </w:p>
    <w:p w14:paraId="0E94EAB8" w14:textId="77777777" w:rsidR="00AA0281" w:rsidRPr="0092071C" w:rsidRDefault="00AA0281" w:rsidP="00AA0281">
      <w:pPr>
        <w:jc w:val="both"/>
        <w:rPr>
          <w:rFonts w:ascii="Arial" w:hAnsi="Arial" w:cs="Arial"/>
          <w:color w:val="FF0000"/>
        </w:rPr>
      </w:pPr>
    </w:p>
    <w:p w14:paraId="01FD470D" w14:textId="77777777" w:rsidR="00AA0281" w:rsidRPr="007C3562" w:rsidRDefault="00AA0281" w:rsidP="00AA0281">
      <w:pPr>
        <w:pStyle w:val="BodyTextIndent"/>
        <w:spacing w:after="0"/>
        <w:ind w:left="0"/>
        <w:rPr>
          <w:rFonts w:ascii="Times New Roman" w:eastAsia="Calibri" w:hAnsi="Times New Roman"/>
          <w:color w:val="FF0000"/>
          <w:szCs w:val="22"/>
        </w:rPr>
      </w:pPr>
    </w:p>
    <w:p w14:paraId="6C9B65A8" w14:textId="77777777" w:rsidR="00AA0281" w:rsidRPr="007C3562" w:rsidRDefault="00AA0281" w:rsidP="00AA0281">
      <w:pPr>
        <w:pStyle w:val="NoSpacing"/>
        <w:numPr>
          <w:ilvl w:val="1"/>
          <w:numId w:val="27"/>
        </w:numPr>
        <w:jc w:val="both"/>
        <w:rPr>
          <w:b/>
          <w:bCs/>
          <w:sz w:val="22"/>
          <w:szCs w:val="22"/>
        </w:rPr>
      </w:pPr>
      <w:r w:rsidRPr="007C3562">
        <w:rPr>
          <w:b/>
          <w:bCs/>
          <w:sz w:val="22"/>
          <w:szCs w:val="22"/>
        </w:rPr>
        <w:t xml:space="preserve">AKTIVNOST: Prevencija i rano otkrivanje kroničnih nezaraznih bolesti </w:t>
      </w:r>
    </w:p>
    <w:p w14:paraId="2097D71F" w14:textId="77777777" w:rsidR="00AA0281" w:rsidRPr="007C3562" w:rsidRDefault="00AA0281" w:rsidP="00AA0281">
      <w:pPr>
        <w:pStyle w:val="NoSpacing"/>
        <w:jc w:val="both"/>
        <w:rPr>
          <w:szCs w:val="24"/>
        </w:rPr>
      </w:pPr>
    </w:p>
    <w:p w14:paraId="7C2478D4" w14:textId="77777777" w:rsidR="00AA0281" w:rsidRPr="007C3562" w:rsidRDefault="00AA0281" w:rsidP="00AA0281">
      <w:pPr>
        <w:pStyle w:val="NoSpacing"/>
        <w:numPr>
          <w:ilvl w:val="0"/>
          <w:numId w:val="29"/>
        </w:numPr>
        <w:jc w:val="both"/>
        <w:rPr>
          <w:szCs w:val="24"/>
        </w:rPr>
      </w:pPr>
      <w:r w:rsidRPr="007C3562">
        <w:rPr>
          <w:b/>
          <w:color w:val="000000"/>
          <w:szCs w:val="24"/>
        </w:rPr>
        <w:t xml:space="preserve">Obrazloženje: </w:t>
      </w:r>
      <w:r w:rsidRPr="007C3562">
        <w:rPr>
          <w:szCs w:val="24"/>
        </w:rPr>
        <w:t xml:space="preserve">Uključuje podaktivnosti: Savjetovalište za prehranu - Zavod će kroz savjetovališni rad i e-savjetovanje nastaviti pružati nutricionističku i psihološku podršku djeci i mladima te roditeljima, ali i ostaloj potrebitoj populaciji, pri poželjnom smanjenju tjelesne težine, kod raznih metaboličkih poremećaja i bolesti, patofizioloških stanja, posebnih prehrambenih potreba, provodit će promociju pravilne prehrane i tjelesne aktivnosti, promovirati usluge savjetovališta, izrađivati promotivne materijale, a za provedbu navedenih aktivnosti nužna su sredstva za zapošljavanje magistre/a nutricionizma; </w:t>
      </w:r>
      <w:r w:rsidRPr="007C3562">
        <w:rPr>
          <w:rFonts w:eastAsia="Calibri"/>
          <w:szCs w:val="24"/>
        </w:rPr>
        <w:t>Monitoring oboljevanja od malignih neoplazmi - u IŽ kontinuirano postoji potreba za analizama pojavnosti raka za što je od posebne važnosti dugogodišnje praćenje raka koje uz povećane potrebe za resursima provodi NZZJZIŽ; Rano otkrivanje raka - Zavod na županijskom nivou koordinira, provodi (djelomično) i evaluira nacionalne programe za rano otkrivanje raka dojke i raka debelog crijeva, kako bi kvalitetno proveli ove preventivne programe i pružili svim stanovnicima Istarske županije mogućnost prevencije najčešćih sijela raka, n</w:t>
      </w:r>
      <w:r w:rsidRPr="007C3562">
        <w:rPr>
          <w:rFonts w:eastAsia="Calibri"/>
          <w:bCs/>
          <w:szCs w:val="24"/>
        </w:rPr>
        <w:t xml:space="preserve">a pozivanju i besplatnom telefonu (informacije o programima, naručivanja, osobni kontakt i priprema osoba kojima je preporučena kolonoskopija i sl.) u Zavodu rade 3 medicinske sestre (izvan ugovorenih timova s HZZO-om. Za podaktivnosti Promocija pravilne prehrane u osnovnim školama i </w:t>
      </w:r>
      <w:r w:rsidRPr="007C3562">
        <w:rPr>
          <w:szCs w:val="24"/>
        </w:rPr>
        <w:t xml:space="preserve">Utvrđivanje količine soli, šećera i trans masnih kiselina u cjelodnevnim obrocima predškolskih ustanova financijska sredstva za provedbu ove aktivnosti osigurava Grad Pula. </w:t>
      </w:r>
    </w:p>
    <w:p w14:paraId="1E3C628A" w14:textId="77777777" w:rsidR="00AA0281" w:rsidRPr="007C3562" w:rsidRDefault="00AA0281" w:rsidP="00AA0281">
      <w:pPr>
        <w:rPr>
          <w:b/>
        </w:rPr>
      </w:pPr>
    </w:p>
    <w:p w14:paraId="6D1B7391" w14:textId="77777777" w:rsidR="00AA0281" w:rsidRPr="007C3562" w:rsidRDefault="00AA0281" w:rsidP="00AA0281">
      <w:pPr>
        <w:pStyle w:val="ListParagraph"/>
        <w:numPr>
          <w:ilvl w:val="0"/>
          <w:numId w:val="29"/>
        </w:numPr>
        <w:rPr>
          <w:b/>
        </w:rPr>
      </w:pPr>
      <w:r w:rsidRPr="007C3562">
        <w:rPr>
          <w:b/>
        </w:rPr>
        <w:t>Cilj uspješnosti</w:t>
      </w:r>
    </w:p>
    <w:p w14:paraId="512D70B8" w14:textId="77777777" w:rsidR="00AA0281" w:rsidRDefault="00AA0281" w:rsidP="00AA0281">
      <w:pPr>
        <w:ind w:left="360"/>
      </w:pPr>
    </w:p>
    <w:tbl>
      <w:tblPr>
        <w:tblW w:w="9116" w:type="dxa"/>
        <w:tblInd w:w="93" w:type="dxa"/>
        <w:tblLook w:val="04A0" w:firstRow="1" w:lastRow="0" w:firstColumn="1" w:lastColumn="0" w:noHBand="0" w:noVBand="1"/>
      </w:tblPr>
      <w:tblGrid>
        <w:gridCol w:w="2860"/>
        <w:gridCol w:w="2380"/>
        <w:gridCol w:w="2380"/>
        <w:gridCol w:w="1496"/>
      </w:tblGrid>
      <w:tr w:rsidR="00AA0281" w:rsidRPr="00C2138A" w14:paraId="7B44A257" w14:textId="77777777" w:rsidTr="001B06BF">
        <w:trPr>
          <w:trHeight w:val="30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574A242D"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25AAA50"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127E1513" w14:textId="77777777" w:rsidTr="001B06BF">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1314D74C"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21944378"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4FED29A9"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586414C8" w14:textId="7CEC0A68"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B06BF" w:rsidRPr="000E330E">
              <w:rPr>
                <w:rFonts w:ascii="Arial Narrow" w:hAnsi="Arial Narrow" w:cs="Calibri"/>
                <w:b/>
                <w:bCs/>
                <w:sz w:val="18"/>
                <w:szCs w:val="18"/>
                <w:lang w:eastAsia="hr-HR"/>
              </w:rPr>
              <w:t>-OSIGURANA SREDSTVA U PRORAČUNU IŽ</w:t>
            </w:r>
          </w:p>
        </w:tc>
      </w:tr>
      <w:tr w:rsidR="00AA0281" w:rsidRPr="00C2138A" w14:paraId="3E57155B" w14:textId="77777777" w:rsidTr="001B06BF">
        <w:trPr>
          <w:trHeight w:val="749"/>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9FB3A45" w14:textId="77777777" w:rsidR="00AA0281" w:rsidRPr="00C27ADB" w:rsidRDefault="00AA0281" w:rsidP="007B5AFD">
            <w:pPr>
              <w:rPr>
                <w:rFonts w:ascii="Arial Narrow" w:hAnsi="Arial Narrow" w:cs="Calibri"/>
                <w:sz w:val="20"/>
                <w:szCs w:val="20"/>
                <w:lang w:eastAsia="hr-HR"/>
              </w:rPr>
            </w:pPr>
            <w:r w:rsidRPr="00C27ADB">
              <w:rPr>
                <w:rFonts w:ascii="Arial Narrow" w:hAnsi="Arial Narrow" w:cs="Calibri"/>
                <w:sz w:val="20"/>
                <w:szCs w:val="20"/>
                <w:lang w:eastAsia="hr-HR"/>
              </w:rPr>
              <w:t>2.2.6. Unaprjeđenje programa prevencije i ranog otkrivanja bolesti</w:t>
            </w:r>
          </w:p>
        </w:tc>
        <w:tc>
          <w:tcPr>
            <w:tcW w:w="2380" w:type="dxa"/>
            <w:tcBorders>
              <w:top w:val="nil"/>
              <w:left w:val="nil"/>
              <w:bottom w:val="single" w:sz="4" w:space="0" w:color="auto"/>
              <w:right w:val="single" w:sz="4" w:space="0" w:color="auto"/>
            </w:tcBorders>
            <w:shd w:val="clear" w:color="auto" w:fill="auto"/>
            <w:vAlign w:val="center"/>
            <w:hideMark/>
          </w:tcPr>
          <w:p w14:paraId="05F71DAC" w14:textId="77777777" w:rsidR="00AA0281" w:rsidRPr="00C27ADB" w:rsidRDefault="00AA0281" w:rsidP="007B5AFD">
            <w:pPr>
              <w:rPr>
                <w:rFonts w:ascii="Arial Narrow" w:hAnsi="Arial Narrow" w:cs="Calibri"/>
                <w:sz w:val="20"/>
                <w:szCs w:val="20"/>
                <w:lang w:eastAsia="hr-HR"/>
              </w:rPr>
            </w:pPr>
            <w:r w:rsidRPr="00C27ADB">
              <w:rPr>
                <w:rFonts w:ascii="Arial Narrow" w:hAnsi="Arial Narrow" w:cs="Calibri"/>
                <w:sz w:val="20"/>
                <w:szCs w:val="20"/>
                <w:lang w:eastAsia="hr-HR"/>
              </w:rPr>
              <w:t>6101 Plan za zdravlje i socijalno blagostanje</w:t>
            </w:r>
          </w:p>
        </w:tc>
        <w:tc>
          <w:tcPr>
            <w:tcW w:w="2380" w:type="dxa"/>
            <w:tcBorders>
              <w:top w:val="nil"/>
              <w:left w:val="nil"/>
              <w:bottom w:val="single" w:sz="4" w:space="0" w:color="auto"/>
              <w:right w:val="single" w:sz="4" w:space="0" w:color="auto"/>
            </w:tcBorders>
            <w:shd w:val="clear" w:color="auto" w:fill="auto"/>
            <w:vAlign w:val="bottom"/>
            <w:hideMark/>
          </w:tcPr>
          <w:p w14:paraId="7439F03A" w14:textId="77777777" w:rsidR="00AA0281" w:rsidRPr="00C27ADB" w:rsidRDefault="00AA0281" w:rsidP="007B5AFD">
            <w:pPr>
              <w:rPr>
                <w:rFonts w:ascii="Arial Narrow" w:hAnsi="Arial Narrow" w:cs="Calibri"/>
                <w:sz w:val="20"/>
                <w:szCs w:val="20"/>
                <w:lang w:eastAsia="hr-HR"/>
              </w:rPr>
            </w:pPr>
            <w:r w:rsidRPr="00C27ADB">
              <w:rPr>
                <w:rFonts w:ascii="Arial Narrow" w:hAnsi="Arial Narrow" w:cs="Calibri"/>
                <w:sz w:val="20"/>
                <w:szCs w:val="20"/>
                <w:lang w:eastAsia="hr-HR"/>
              </w:rPr>
              <w:t xml:space="preserve">A610146 Prevencija i rano otkrivanje kroničnih nezaraznih bolesti; </w:t>
            </w:r>
          </w:p>
        </w:tc>
        <w:tc>
          <w:tcPr>
            <w:tcW w:w="1496" w:type="dxa"/>
            <w:tcBorders>
              <w:top w:val="nil"/>
              <w:left w:val="nil"/>
              <w:bottom w:val="single" w:sz="4" w:space="0" w:color="auto"/>
              <w:right w:val="single" w:sz="4" w:space="0" w:color="auto"/>
            </w:tcBorders>
            <w:shd w:val="clear" w:color="auto" w:fill="auto"/>
            <w:noWrap/>
            <w:vAlign w:val="center"/>
          </w:tcPr>
          <w:p w14:paraId="6DC1C95E" w14:textId="77777777" w:rsidR="00AA0281" w:rsidRPr="00C27ADB" w:rsidRDefault="00AA0281" w:rsidP="007B5AFD">
            <w:pPr>
              <w:jc w:val="center"/>
              <w:rPr>
                <w:rFonts w:ascii="Arial Narrow" w:hAnsi="Arial Narrow" w:cs="Calibri"/>
                <w:color w:val="FF0000"/>
                <w:sz w:val="20"/>
                <w:szCs w:val="20"/>
                <w:lang w:eastAsia="hr-HR"/>
              </w:rPr>
            </w:pPr>
            <w:r w:rsidRPr="00C27ADB">
              <w:rPr>
                <w:rFonts w:ascii="Arial Narrow" w:hAnsi="Arial Narrow" w:cs="Calibri"/>
                <w:sz w:val="20"/>
                <w:szCs w:val="20"/>
                <w:lang w:eastAsia="hr-HR"/>
              </w:rPr>
              <w:t>47.516,00 EUR</w:t>
            </w:r>
          </w:p>
        </w:tc>
      </w:tr>
    </w:tbl>
    <w:p w14:paraId="2DDB27CA" w14:textId="77777777" w:rsidR="00AA0281" w:rsidRDefault="00AA0281" w:rsidP="00AA0281">
      <w:pPr>
        <w:ind w:left="360"/>
      </w:pPr>
    </w:p>
    <w:p w14:paraId="38ED1913" w14:textId="77777777" w:rsidR="00E40F5E" w:rsidRDefault="00E40F5E" w:rsidP="00AA0281">
      <w:pPr>
        <w:ind w:left="360"/>
      </w:pPr>
    </w:p>
    <w:p w14:paraId="4B924128" w14:textId="54CCCA39" w:rsidR="00AA0281" w:rsidRPr="007C3562" w:rsidRDefault="00C938DD" w:rsidP="00C938DD">
      <w:pPr>
        <w:pStyle w:val="ListParagraph"/>
        <w:ind w:left="360"/>
        <w:rPr>
          <w:b/>
        </w:rPr>
      </w:pPr>
      <w:r>
        <w:rPr>
          <w:b/>
        </w:rPr>
        <w:t>-</w:t>
      </w:r>
      <w:r>
        <w:rPr>
          <w:b/>
        </w:rPr>
        <w:tab/>
      </w:r>
      <w:r w:rsidR="00AA0281" w:rsidRPr="007C3562">
        <w:rPr>
          <w:b/>
        </w:rPr>
        <w:t>Pokazatelji uspješnosti</w:t>
      </w:r>
    </w:p>
    <w:p w14:paraId="44DA6E07" w14:textId="77777777" w:rsidR="00AA0281" w:rsidRPr="0017220D" w:rsidRDefault="00AA0281" w:rsidP="00AA0281">
      <w:pPr>
        <w:ind w:left="360"/>
        <w:rPr>
          <w:rFonts w:cs="Arial"/>
          <w:b/>
        </w:rPr>
      </w:pPr>
    </w:p>
    <w:tbl>
      <w:tblPr>
        <w:tblW w:w="8920" w:type="dxa"/>
        <w:tblInd w:w="93" w:type="dxa"/>
        <w:tblLook w:val="04A0" w:firstRow="1" w:lastRow="0" w:firstColumn="1" w:lastColumn="0" w:noHBand="0" w:noVBand="1"/>
      </w:tblPr>
      <w:tblGrid>
        <w:gridCol w:w="4864"/>
        <w:gridCol w:w="1134"/>
        <w:gridCol w:w="1079"/>
        <w:gridCol w:w="1843"/>
      </w:tblGrid>
      <w:tr w:rsidR="00AA0281" w:rsidRPr="00C2138A" w14:paraId="3838C520" w14:textId="77777777" w:rsidTr="007B5AFD">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0ABBDBDC"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3EE4E2D"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483A0A96"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75B4E818"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C2138A" w14:paraId="6BF35CFA" w14:textId="77777777" w:rsidTr="007B5AFD">
        <w:trPr>
          <w:trHeight w:val="283"/>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F1F62" w14:textId="77777777" w:rsidR="00AA0281" w:rsidRPr="00C27ADB" w:rsidRDefault="00AA0281" w:rsidP="007B5AFD">
            <w:pPr>
              <w:rPr>
                <w:rFonts w:ascii="Arial Narrow" w:hAnsi="Arial Narrow" w:cs="Calibri"/>
                <w:bCs/>
                <w:sz w:val="20"/>
                <w:szCs w:val="20"/>
                <w:lang w:eastAsia="hr-HR"/>
              </w:rPr>
            </w:pPr>
            <w:r w:rsidRPr="00C27ADB">
              <w:rPr>
                <w:rFonts w:ascii="Arial Narrow" w:hAnsi="Arial Narrow" w:cs="Calibri"/>
                <w:bCs/>
                <w:sz w:val="20"/>
                <w:szCs w:val="20"/>
                <w:lang w:eastAsia="hr-HR"/>
              </w:rPr>
              <w:t>Broj provedenih savjetovanja o prehrani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93ECBD"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1.062</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09EDC523"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1B08538"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1.054</w:t>
            </w:r>
          </w:p>
        </w:tc>
      </w:tr>
      <w:tr w:rsidR="00AA0281" w:rsidRPr="00C2138A" w14:paraId="5663D48B" w14:textId="77777777" w:rsidTr="007B5AFD">
        <w:trPr>
          <w:trHeight w:val="283"/>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2E665" w14:textId="77777777" w:rsidR="00AA0281" w:rsidRPr="00C27ADB" w:rsidRDefault="00AA0281" w:rsidP="007B5AFD">
            <w:pPr>
              <w:rPr>
                <w:rFonts w:ascii="Arial Narrow" w:hAnsi="Arial Narrow" w:cs="Calibri"/>
                <w:bCs/>
                <w:color w:val="000000"/>
                <w:sz w:val="20"/>
                <w:szCs w:val="20"/>
                <w:lang w:eastAsia="hr-HR"/>
              </w:rPr>
            </w:pPr>
            <w:r w:rsidRPr="00C27ADB">
              <w:rPr>
                <w:rFonts w:ascii="Arial Narrow" w:hAnsi="Arial Narrow" w:cs="Calibri"/>
                <w:bCs/>
                <w:color w:val="000000"/>
                <w:sz w:val="20"/>
                <w:szCs w:val="20"/>
                <w:lang w:eastAsia="hr-HR"/>
              </w:rPr>
              <w:t>Broj izrađenih godišnjih analiza o raku (poglavlje Maligne bolesti)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8DA01D"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53442FE8"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EEBA09"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w:t>
            </w:r>
          </w:p>
        </w:tc>
      </w:tr>
      <w:tr w:rsidR="00AA0281" w:rsidRPr="00C2138A" w14:paraId="7A6CAE05" w14:textId="77777777" w:rsidTr="007B5AFD">
        <w:trPr>
          <w:trHeight w:val="283"/>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DBA47" w14:textId="77777777" w:rsidR="00AA0281" w:rsidRPr="00C27ADB" w:rsidRDefault="00AA0281" w:rsidP="007B5AFD">
            <w:pPr>
              <w:rPr>
                <w:rFonts w:ascii="Arial Narrow" w:hAnsi="Arial Narrow" w:cs="Calibri"/>
                <w:bCs/>
                <w:sz w:val="20"/>
                <w:szCs w:val="20"/>
                <w:lang w:eastAsia="hr-HR"/>
              </w:rPr>
            </w:pPr>
            <w:r w:rsidRPr="00C27ADB">
              <w:rPr>
                <w:rFonts w:ascii="Arial Narrow" w:hAnsi="Arial Narrow" w:cs="Calibri"/>
                <w:bCs/>
                <w:sz w:val="20"/>
                <w:szCs w:val="20"/>
                <w:lang w:eastAsia="hr-HR"/>
              </w:rPr>
              <w:t xml:space="preserve">Broj poslanih poziva na mamografiju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401135"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17.329</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53E0E8CF"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17.000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501CC5"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14.229</w:t>
            </w:r>
          </w:p>
        </w:tc>
      </w:tr>
      <w:tr w:rsidR="00AA0281" w:rsidRPr="00C2138A" w14:paraId="45634AA2" w14:textId="77777777" w:rsidTr="007B5AFD">
        <w:trPr>
          <w:trHeight w:val="283"/>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CEAC8" w14:textId="77777777" w:rsidR="00AA0281" w:rsidRPr="00C27ADB" w:rsidRDefault="00AA0281" w:rsidP="007B5AFD">
            <w:pPr>
              <w:rPr>
                <w:rFonts w:ascii="Arial Narrow" w:hAnsi="Arial Narrow" w:cs="Calibri"/>
                <w:bCs/>
                <w:sz w:val="20"/>
                <w:szCs w:val="20"/>
                <w:lang w:eastAsia="hr-HR"/>
              </w:rPr>
            </w:pPr>
            <w:r w:rsidRPr="00C27ADB">
              <w:rPr>
                <w:rFonts w:ascii="Arial Narrow" w:hAnsi="Arial Narrow" w:cs="Calibri"/>
                <w:bCs/>
                <w:sz w:val="20"/>
                <w:szCs w:val="20"/>
                <w:lang w:eastAsia="hr-HR"/>
              </w:rPr>
              <w:t>Broj testiranih uzoraka stolice na nevidljivu krv</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A7C2F7"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7.564</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2FEF3C12"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7.000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7E05D2D"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6.684</w:t>
            </w:r>
          </w:p>
        </w:tc>
      </w:tr>
      <w:tr w:rsidR="00AA0281" w:rsidRPr="00C2138A" w14:paraId="3422637A" w14:textId="77777777" w:rsidTr="007B5AFD">
        <w:trPr>
          <w:trHeight w:val="283"/>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070A" w14:textId="77777777" w:rsidR="00AA0281" w:rsidRPr="00C27ADB" w:rsidRDefault="00AA0281" w:rsidP="007B5AFD">
            <w:pPr>
              <w:rPr>
                <w:rFonts w:ascii="Arial Narrow" w:hAnsi="Arial Narrow" w:cs="Calibri"/>
                <w:bCs/>
                <w:sz w:val="20"/>
                <w:szCs w:val="20"/>
                <w:lang w:eastAsia="hr-HR"/>
              </w:rPr>
            </w:pPr>
            <w:r w:rsidRPr="00C27ADB">
              <w:rPr>
                <w:rFonts w:ascii="Arial Narrow" w:hAnsi="Arial Narrow" w:cs="Calibri"/>
                <w:bCs/>
                <w:sz w:val="20"/>
                <w:szCs w:val="20"/>
                <w:lang w:eastAsia="hr-HR"/>
              </w:rPr>
              <w:t>Broj razgovora na besplatnom telefonu za rano otkrivanje raka i komunikacija s korisnicima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A1CA78"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4.126</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4EE15481"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4.000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73BCE5"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12.549</w:t>
            </w:r>
          </w:p>
        </w:tc>
      </w:tr>
      <w:tr w:rsidR="00AA0281" w:rsidRPr="00C2138A" w14:paraId="0FDBD0D5" w14:textId="77777777" w:rsidTr="007B5AFD">
        <w:trPr>
          <w:trHeight w:val="283"/>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F0156" w14:textId="77777777" w:rsidR="00AA0281" w:rsidRPr="00C27ADB" w:rsidRDefault="00AA0281" w:rsidP="007B5AFD">
            <w:pPr>
              <w:rPr>
                <w:rFonts w:ascii="Arial Narrow" w:hAnsi="Arial Narrow" w:cs="Calibri"/>
                <w:bCs/>
                <w:sz w:val="20"/>
                <w:szCs w:val="20"/>
                <w:lang w:eastAsia="hr-HR"/>
              </w:rPr>
            </w:pPr>
            <w:r w:rsidRPr="00C27ADB">
              <w:rPr>
                <w:rFonts w:ascii="Arial Narrow" w:hAnsi="Arial Narrow" w:cs="Calibri"/>
                <w:bCs/>
                <w:sz w:val="20"/>
                <w:szCs w:val="20"/>
                <w:lang w:eastAsia="hr-HR"/>
              </w:rPr>
              <w:t>Broj promotivnih aktivnosti / događanja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F2F4B1"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6</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66A209D5"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16020EB"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7</w:t>
            </w:r>
          </w:p>
        </w:tc>
      </w:tr>
    </w:tbl>
    <w:p w14:paraId="7EE73FC9" w14:textId="77777777" w:rsidR="00AA0281" w:rsidRDefault="00AA0281" w:rsidP="00AA0281">
      <w:pPr>
        <w:rPr>
          <w:rFonts w:ascii="Arial" w:hAnsi="Arial" w:cs="Arial"/>
          <w:b/>
        </w:rPr>
      </w:pPr>
    </w:p>
    <w:p w14:paraId="0886FC02" w14:textId="77777777" w:rsidR="00AA0281" w:rsidRPr="007C3562" w:rsidRDefault="00AA0281" w:rsidP="00AA0281">
      <w:pPr>
        <w:rPr>
          <w:b/>
        </w:rPr>
      </w:pPr>
    </w:p>
    <w:p w14:paraId="3D7E811D" w14:textId="77777777" w:rsidR="00AA0281" w:rsidRPr="007C3562" w:rsidRDefault="00AA0281" w:rsidP="00AA0281">
      <w:pPr>
        <w:rPr>
          <w:b/>
        </w:rPr>
      </w:pPr>
      <w:r w:rsidRPr="007C3562">
        <w:rPr>
          <w:b/>
        </w:rPr>
        <w:t>Izvještaj o postignutim ciljevima i rezultatima programa temeljenim na pokazateljima uspješnosti:</w:t>
      </w:r>
    </w:p>
    <w:p w14:paraId="392C0BB4" w14:textId="77777777" w:rsidR="00AA0281" w:rsidRPr="007C3562" w:rsidRDefault="00AA0281" w:rsidP="00AA0281">
      <w:pPr>
        <w:pStyle w:val="BodyTextIndent"/>
        <w:spacing w:after="0"/>
        <w:ind w:left="0"/>
        <w:rPr>
          <w:rFonts w:ascii="Times New Roman" w:eastAsia="Calibri" w:hAnsi="Times New Roman"/>
          <w:sz w:val="24"/>
          <w:szCs w:val="24"/>
        </w:rPr>
      </w:pPr>
      <w:r w:rsidRPr="007C3562">
        <w:rPr>
          <w:rFonts w:ascii="Times New Roman" w:hAnsi="Times New Roman"/>
          <w:sz w:val="24"/>
          <w:szCs w:val="24"/>
        </w:rPr>
        <w:sym w:font="Wingdings" w:char="F077"/>
      </w:r>
      <w:r w:rsidRPr="007C3562">
        <w:rPr>
          <w:rFonts w:ascii="Times New Roman" w:hAnsi="Times New Roman"/>
          <w:sz w:val="24"/>
          <w:szCs w:val="24"/>
        </w:rPr>
        <w:t xml:space="preserve"> Podaktivnost: Savjetovalište - Savjetovalište za prehranu u 9 gradova/općina Istarske županije koristilo je 365 novih korisnika, provedeno je 1.054 nutricionističkih savjetovanja, 44 psiholoških savjetovanja i 852 antropometrijskih mjerenja. Najčešći razlog dolaska u Savjetovalište bio je zdravo mršavljenje (47%), ali i izraženi zdravstveni problemi (36%). </w:t>
      </w:r>
    </w:p>
    <w:p w14:paraId="69C9CDE2" w14:textId="77777777" w:rsidR="00AA0281" w:rsidRPr="007C3562" w:rsidRDefault="00AA0281" w:rsidP="00AA0281">
      <w:pPr>
        <w:pStyle w:val="BodyTextIndent"/>
        <w:spacing w:after="0"/>
        <w:ind w:left="0"/>
        <w:rPr>
          <w:rFonts w:ascii="Times New Roman" w:hAnsi="Times New Roman"/>
          <w:sz w:val="24"/>
          <w:szCs w:val="24"/>
        </w:rPr>
      </w:pPr>
      <w:r w:rsidRPr="007C3562">
        <w:rPr>
          <w:rFonts w:ascii="Times New Roman" w:eastAsia="Calibri" w:hAnsi="Times New Roman"/>
          <w:sz w:val="24"/>
          <w:szCs w:val="24"/>
        </w:rPr>
        <w:sym w:font="Wingdings" w:char="F077"/>
      </w:r>
      <w:r w:rsidRPr="007C3562">
        <w:rPr>
          <w:rFonts w:ascii="Times New Roman" w:eastAsia="Calibri" w:hAnsi="Times New Roman"/>
          <w:sz w:val="24"/>
          <w:szCs w:val="24"/>
        </w:rPr>
        <w:t xml:space="preserve"> Podaktivnost: Monitoring oboljevanja od malignih neoplazmi – </w:t>
      </w:r>
      <w:r w:rsidRPr="007C3562">
        <w:rPr>
          <w:rFonts w:ascii="Times New Roman" w:hAnsi="Times New Roman"/>
          <w:sz w:val="24"/>
          <w:szCs w:val="24"/>
        </w:rPr>
        <w:t xml:space="preserve">Prikupljene su, kontrolirane i upisane prijave novooboljelih od malignih neoplazmi, kontrolirano je učitavanje mjesečnih datoteka s ONKO zapisima (2.561 zapisa) te njihov obuhvat  iz OB Pula i stacionara IDZ-a.  Obilježen je </w:t>
      </w:r>
      <w:r w:rsidRPr="007C3562">
        <w:rPr>
          <w:rFonts w:ascii="Times New Roman" w:eastAsia="Calibri" w:hAnsi="Times New Roman"/>
          <w:sz w:val="24"/>
          <w:szCs w:val="24"/>
        </w:rPr>
        <w:t xml:space="preserve">Europski tjedan prevencije raka vrata maternice i </w:t>
      </w:r>
      <w:r w:rsidRPr="007C3562">
        <w:rPr>
          <w:rFonts w:ascii="Times New Roman" w:hAnsi="Times New Roman"/>
          <w:sz w:val="24"/>
          <w:szCs w:val="24"/>
        </w:rPr>
        <w:t xml:space="preserve">Svjetski dan borbe protiv raka te predavanje povodom Movembera. </w:t>
      </w:r>
      <w:r w:rsidRPr="007C3562">
        <w:rPr>
          <w:rFonts w:ascii="Times New Roman" w:eastAsia="Calibri" w:hAnsi="Times New Roman"/>
          <w:sz w:val="24"/>
          <w:szCs w:val="24"/>
        </w:rPr>
        <w:t>Pripremljeno je i objavljeno poglavlja „Maligne bolesti“ u sklopu godišnje publikacije</w:t>
      </w:r>
      <w:r w:rsidRPr="007C3562">
        <w:rPr>
          <w:rFonts w:ascii="Times New Roman" w:hAnsi="Times New Roman"/>
          <w:sz w:val="24"/>
          <w:szCs w:val="24"/>
        </w:rPr>
        <w:t>.</w:t>
      </w:r>
    </w:p>
    <w:p w14:paraId="7DEC3A9A" w14:textId="221CDAEB" w:rsidR="00AA0281" w:rsidRPr="007C3562" w:rsidRDefault="00AA0281" w:rsidP="00AA0281">
      <w:pPr>
        <w:pStyle w:val="BodyTextIndent"/>
        <w:spacing w:after="0"/>
        <w:ind w:left="0"/>
        <w:rPr>
          <w:rFonts w:ascii="Times New Roman" w:hAnsi="Times New Roman"/>
          <w:color w:val="FF0000"/>
          <w:sz w:val="24"/>
          <w:szCs w:val="24"/>
        </w:rPr>
      </w:pPr>
      <w:r w:rsidRPr="007C3562">
        <w:rPr>
          <w:rFonts w:ascii="Times New Roman" w:eastAsia="Calibri" w:hAnsi="Times New Roman"/>
          <w:sz w:val="24"/>
          <w:szCs w:val="24"/>
        </w:rPr>
        <w:sym w:font="Wingdings" w:char="F077"/>
      </w:r>
      <w:r w:rsidRPr="007C3562">
        <w:rPr>
          <w:rFonts w:ascii="Times New Roman" w:eastAsia="Calibri" w:hAnsi="Times New Roman"/>
          <w:sz w:val="24"/>
          <w:szCs w:val="24"/>
        </w:rPr>
        <w:t xml:space="preserve"> Podaktivnost: Rano otkrivanje raka - </w:t>
      </w:r>
      <w:r w:rsidRPr="007C3562">
        <w:rPr>
          <w:rFonts w:ascii="Times New Roman" w:hAnsi="Times New Roman"/>
          <w:sz w:val="24"/>
          <w:szCs w:val="24"/>
        </w:rPr>
        <w:t>U tijeku je 8. ciklus pozivanja na mamografiju, a od rujna i 6. ciklus testiranja stolice u sklopu Nacionalnih programa. Upućeno je 14.229 poziva na mamografiju, 7.540 pisama s materijalima za uzimanje i slanje uzoraka stolice, t</w:t>
      </w:r>
      <w:r w:rsidRPr="007C3562">
        <w:rPr>
          <w:rFonts w:ascii="Times New Roman" w:hAnsi="Times New Roman"/>
          <w:bCs/>
          <w:sz w:val="24"/>
          <w:szCs w:val="24"/>
        </w:rPr>
        <w:t>estirani su uzorci stolice kod 6.684 osoba, t</w:t>
      </w:r>
      <w:r w:rsidRPr="007C3562">
        <w:rPr>
          <w:rFonts w:ascii="Times New Roman" w:hAnsi="Times New Roman"/>
          <w:sz w:val="24"/>
          <w:szCs w:val="24"/>
        </w:rPr>
        <w:t>ermin za kolonoskopiju u OB Pula dodijeljen je 67 osoba s pozitivnim nalazom krvi u stolici. Putem besplatnog telefona evidentirano je 12.549 komunikacija s korisnicima. Provedene su 4 promotivne aktivnosti: Dan narcisa, Ožujak - Europski mjesec svjesnosti o kolorektalnom raku, Ružičasti mjesec i Dan osoba sa stomom. Sudjelovali smo na svečanoj primopredaji mobilnog digitalnog mamografa od strane IŽ prema IDZ-u te na 2 edukativne radionice za liječnike i patronažu.</w:t>
      </w:r>
      <w:r w:rsidRPr="007C3562">
        <w:rPr>
          <w:rFonts w:ascii="Times New Roman" w:hAnsi="Times New Roman"/>
          <w:color w:val="FF0000"/>
          <w:sz w:val="24"/>
          <w:szCs w:val="24"/>
        </w:rPr>
        <w:t xml:space="preserve"> </w:t>
      </w:r>
    </w:p>
    <w:p w14:paraId="6A912E8A" w14:textId="77777777" w:rsidR="00AA0281" w:rsidRPr="007C3562" w:rsidRDefault="00AA0281" w:rsidP="00AA0281">
      <w:pPr>
        <w:jc w:val="both"/>
        <w:rPr>
          <w:color w:val="FF0000"/>
        </w:rPr>
      </w:pPr>
      <w:r w:rsidRPr="007C3562">
        <w:rPr>
          <w:rFonts w:eastAsia="Calibri"/>
          <w:bCs/>
        </w:rPr>
        <w:sym w:font="Wingdings" w:char="F077"/>
      </w:r>
      <w:r w:rsidRPr="007C3562">
        <w:rPr>
          <w:rFonts w:eastAsia="Calibri"/>
          <w:bCs/>
        </w:rPr>
        <w:t xml:space="preserve"> Podaktivnost: Promocija pravilne prehrane u osnovnim školama  - </w:t>
      </w:r>
      <w:r w:rsidRPr="007C3562">
        <w:t xml:space="preserve">Održano je 26 predavanja Obuhvaćeno je 541 učenika iz 11 Osnovnih škola na području grada Pula. Učenici </w:t>
      </w:r>
      <w:r w:rsidRPr="007C3562">
        <w:lastRenderedPageBreak/>
        <w:t>su dobili provjerene i stručne informacije o prehrani te su kroz zabavne i praktične primjere potaknuti na veći unos voća i povrća te kretanje i tjelesnu aktivnost kao neizostavan dio u očuvanju zdravlja. Također je obrađena tema energetskih pića i rizici za zdravlje kod njihove povećane konzumacije kod mladih. Prikupljeno je 11 školskih jelovnika koji su se analizirali i interpretirali. Svakoj je školi poslano izvješće s preporukama i mišljenjima nutricionista o kvaliteti školskih marendi. Zaključno, kod većine škola u jelovnicima fali povrća i svježeg voća, te su dani primjeri suhih i kuhanih marendi radi poboljšanja ponude.</w:t>
      </w:r>
    </w:p>
    <w:p w14:paraId="5EB34311" w14:textId="77777777" w:rsidR="00AA0281" w:rsidRPr="007C3562" w:rsidRDefault="00AA0281" w:rsidP="00AA0281">
      <w:pPr>
        <w:jc w:val="both"/>
      </w:pPr>
      <w:r w:rsidRPr="007C3562">
        <w:rPr>
          <w:rFonts w:eastAsia="Calibri"/>
          <w:bCs/>
        </w:rPr>
        <w:sym w:font="Wingdings" w:char="F077"/>
      </w:r>
      <w:r w:rsidRPr="007C3562">
        <w:rPr>
          <w:rFonts w:eastAsia="Calibri"/>
          <w:bCs/>
        </w:rPr>
        <w:t xml:space="preserve"> Podaktivnost: U</w:t>
      </w:r>
      <w:r w:rsidRPr="007C3562">
        <w:t xml:space="preserve">tvrđivanje količine soli, šećera i trans masnih kiselina u cjelodnevnim obrocima predškolskih ustanova s radionicama za kuhinjsko osoblje </w:t>
      </w:r>
      <w:r w:rsidRPr="007C3562">
        <w:rPr>
          <w:rFonts w:eastAsia="Calibri"/>
          <w:bCs/>
        </w:rPr>
        <w:t xml:space="preserve">- </w:t>
      </w:r>
      <w:r w:rsidRPr="007C3562">
        <w:t>U predškolskim ustanovama obavljena su 4 uzorkovanja u 5 kuhinjskih objekata predškolskih ustanova  te je na zadane parametre analizirano 20 cjelodnevnih obroka. Izvještaji o provedenim ispitivanjima i prijedlozi za poboljšanja dostavljeni su predškolskim ustanovama.</w:t>
      </w:r>
    </w:p>
    <w:p w14:paraId="7AE7BED2" w14:textId="77777777" w:rsidR="00E40F5E" w:rsidRDefault="00E40F5E" w:rsidP="00E40F5E">
      <w:pPr>
        <w:pStyle w:val="ListParagraph"/>
        <w:tabs>
          <w:tab w:val="left" w:pos="426"/>
        </w:tabs>
        <w:rPr>
          <w:b/>
          <w:bCs/>
        </w:rPr>
      </w:pPr>
    </w:p>
    <w:p w14:paraId="27908516" w14:textId="77777777" w:rsidR="00E40F5E" w:rsidRDefault="00E40F5E" w:rsidP="00E40F5E">
      <w:pPr>
        <w:pStyle w:val="ListParagraph"/>
        <w:tabs>
          <w:tab w:val="left" w:pos="426"/>
        </w:tabs>
        <w:rPr>
          <w:b/>
          <w:bCs/>
        </w:rPr>
      </w:pPr>
    </w:p>
    <w:p w14:paraId="58984740" w14:textId="77777777" w:rsidR="00AA0281" w:rsidRPr="007C3562" w:rsidRDefault="00AA0281" w:rsidP="00AA0281">
      <w:pPr>
        <w:pStyle w:val="ListParagraph"/>
        <w:numPr>
          <w:ilvl w:val="1"/>
          <w:numId w:val="27"/>
        </w:numPr>
        <w:tabs>
          <w:tab w:val="left" w:pos="426"/>
        </w:tabs>
        <w:rPr>
          <w:b/>
          <w:bCs/>
        </w:rPr>
      </w:pPr>
      <w:r w:rsidRPr="007C3562">
        <w:rPr>
          <w:b/>
          <w:bCs/>
        </w:rPr>
        <w:t xml:space="preserve">AKTIVNOST: Savjetovalište za spolno zdravlje mladih u IŽ </w:t>
      </w:r>
    </w:p>
    <w:p w14:paraId="64F24B13" w14:textId="77777777" w:rsidR="00AA0281" w:rsidRPr="007C3562" w:rsidRDefault="00AA0281" w:rsidP="00AA0281">
      <w:pPr>
        <w:tabs>
          <w:tab w:val="left" w:pos="426"/>
        </w:tabs>
      </w:pPr>
    </w:p>
    <w:p w14:paraId="3E36F62A" w14:textId="44A0CEAF" w:rsidR="00AA0281" w:rsidRPr="007C3562" w:rsidRDefault="00AA0281" w:rsidP="00AA0281">
      <w:pPr>
        <w:pStyle w:val="ListParagraph"/>
        <w:numPr>
          <w:ilvl w:val="0"/>
          <w:numId w:val="35"/>
        </w:numPr>
        <w:tabs>
          <w:tab w:val="left" w:pos="426"/>
        </w:tabs>
        <w:jc w:val="both"/>
      </w:pPr>
      <w:r w:rsidRPr="007C3562">
        <w:rPr>
          <w:b/>
          <w:color w:val="000000"/>
        </w:rPr>
        <w:t xml:space="preserve">Obrazloženje: </w:t>
      </w:r>
      <w:r w:rsidRPr="007C3562">
        <w:t>Kako bi mladima omogućio podršku u razvoju punog spolnog zdravlja, Zavod provodi edukacije ciljanih skupina (učenici 8. raz. OŠ i 3. raz. SŠ, nastavnici, roditelji, javnost), promovirajući ravnopravnost spolova, nenasilje u vezama, pravo na različitost spolne orijentacije bez disk</w:t>
      </w:r>
      <w:r w:rsidR="00607FB4">
        <w:t>r</w:t>
      </w:r>
      <w:r w:rsidRPr="007C3562">
        <w:t>iminacije,</w:t>
      </w:r>
      <w:r w:rsidR="00607FB4">
        <w:t xml:space="preserve"> </w:t>
      </w:r>
      <w:r w:rsidRPr="007C3562">
        <w:t xml:space="preserve"> na ugodno i sigurno spolno iskustvo bez prisile (kontracepcija, spolnoprenosive infekcije, sexting i zaštita od cyberbullynga), Savjetovališta djeluju u 8 gradova (Puli, Poreču, Bujama, Labinu, Rovinju, Pazinu, Vodnjanu i Buzetu), provode specijalisti školske i adolescentne medicine kroz dodatni rad.</w:t>
      </w:r>
    </w:p>
    <w:p w14:paraId="5D8E7010" w14:textId="77777777" w:rsidR="00AA0281" w:rsidRPr="007C3562" w:rsidRDefault="00AA0281" w:rsidP="00AA0281">
      <w:pPr>
        <w:tabs>
          <w:tab w:val="left" w:pos="426"/>
        </w:tabs>
        <w:jc w:val="both"/>
      </w:pPr>
    </w:p>
    <w:p w14:paraId="3C6E089A" w14:textId="77777777" w:rsidR="00AA0281" w:rsidRPr="007C3562" w:rsidRDefault="00AA0281" w:rsidP="00AA0281">
      <w:pPr>
        <w:pStyle w:val="ListParagraph"/>
        <w:numPr>
          <w:ilvl w:val="0"/>
          <w:numId w:val="29"/>
        </w:numPr>
        <w:rPr>
          <w:b/>
        </w:rPr>
      </w:pPr>
      <w:r w:rsidRPr="007C3562">
        <w:rPr>
          <w:b/>
        </w:rPr>
        <w:t>Cilj uspješnosti</w:t>
      </w:r>
    </w:p>
    <w:p w14:paraId="644CE046" w14:textId="77777777" w:rsidR="00AA0281" w:rsidRPr="007C3562" w:rsidRDefault="00AA0281" w:rsidP="00AA0281">
      <w:pPr>
        <w:ind w:left="360"/>
      </w:pPr>
    </w:p>
    <w:tbl>
      <w:tblPr>
        <w:tblW w:w="9116" w:type="dxa"/>
        <w:tblInd w:w="93" w:type="dxa"/>
        <w:tblLook w:val="04A0" w:firstRow="1" w:lastRow="0" w:firstColumn="1" w:lastColumn="0" w:noHBand="0" w:noVBand="1"/>
      </w:tblPr>
      <w:tblGrid>
        <w:gridCol w:w="2860"/>
        <w:gridCol w:w="2380"/>
        <w:gridCol w:w="2380"/>
        <w:gridCol w:w="1496"/>
      </w:tblGrid>
      <w:tr w:rsidR="00AA0281" w:rsidRPr="00C2138A" w14:paraId="41194CFD" w14:textId="77777777" w:rsidTr="001B06BF">
        <w:trPr>
          <w:trHeight w:val="30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7444BF95"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C76B563"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1F4608E1" w14:textId="77777777" w:rsidTr="001B06BF">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02AB5E54"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034E7CE2"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75199EB3"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72EA3D7E" w14:textId="6F8C4938"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B06BF" w:rsidRPr="000E330E">
              <w:rPr>
                <w:rFonts w:ascii="Arial Narrow" w:hAnsi="Arial Narrow" w:cs="Calibri"/>
                <w:b/>
                <w:bCs/>
                <w:sz w:val="18"/>
                <w:szCs w:val="18"/>
                <w:lang w:eastAsia="hr-HR"/>
              </w:rPr>
              <w:t>-OSIGURANA SREDSTVA U PRORAČUNU IŽ</w:t>
            </w:r>
          </w:p>
        </w:tc>
      </w:tr>
      <w:tr w:rsidR="00AA0281" w:rsidRPr="00C2138A" w14:paraId="4CA13C70" w14:textId="77777777" w:rsidTr="001B06BF">
        <w:trPr>
          <w:trHeight w:val="506"/>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CCF6E30" w14:textId="77777777" w:rsidR="00AA0281" w:rsidRPr="00C27ADB" w:rsidRDefault="00AA0281" w:rsidP="007B5AFD">
            <w:pPr>
              <w:rPr>
                <w:rFonts w:ascii="Arial Narrow" w:hAnsi="Arial Narrow" w:cs="Calibri"/>
                <w:sz w:val="20"/>
                <w:szCs w:val="20"/>
                <w:lang w:eastAsia="hr-HR"/>
              </w:rPr>
            </w:pPr>
            <w:r w:rsidRPr="00C27ADB">
              <w:rPr>
                <w:rFonts w:ascii="Arial Narrow" w:hAnsi="Arial Narrow" w:cs="Calibri"/>
                <w:sz w:val="20"/>
                <w:szCs w:val="20"/>
                <w:lang w:eastAsia="hr-HR"/>
              </w:rPr>
              <w:t>2.2.6. Unaprjeđenje programa prevencije i ranog otkrivanja bolesti</w:t>
            </w:r>
          </w:p>
        </w:tc>
        <w:tc>
          <w:tcPr>
            <w:tcW w:w="2380" w:type="dxa"/>
            <w:tcBorders>
              <w:top w:val="nil"/>
              <w:left w:val="nil"/>
              <w:bottom w:val="single" w:sz="4" w:space="0" w:color="auto"/>
              <w:right w:val="single" w:sz="4" w:space="0" w:color="auto"/>
            </w:tcBorders>
            <w:shd w:val="clear" w:color="auto" w:fill="auto"/>
            <w:hideMark/>
          </w:tcPr>
          <w:p w14:paraId="1CC30819" w14:textId="77777777" w:rsidR="00AA0281" w:rsidRPr="00C27ADB" w:rsidRDefault="00AA0281" w:rsidP="007B5AFD">
            <w:pPr>
              <w:rPr>
                <w:rFonts w:ascii="Arial Narrow" w:hAnsi="Arial Narrow" w:cs="Calibri"/>
                <w:sz w:val="20"/>
                <w:szCs w:val="20"/>
                <w:lang w:eastAsia="hr-HR"/>
              </w:rPr>
            </w:pPr>
            <w:r w:rsidRPr="00C27ADB">
              <w:rPr>
                <w:rFonts w:ascii="Arial Narrow" w:hAnsi="Arial Narrow" w:cs="Calibri"/>
                <w:sz w:val="20"/>
                <w:szCs w:val="20"/>
                <w:lang w:eastAsia="hr-HR"/>
              </w:rPr>
              <w:t>6101 Plan za zdravlje i socijalno blagostanje</w:t>
            </w:r>
          </w:p>
        </w:tc>
        <w:tc>
          <w:tcPr>
            <w:tcW w:w="2380" w:type="dxa"/>
            <w:tcBorders>
              <w:top w:val="nil"/>
              <w:left w:val="nil"/>
              <w:bottom w:val="single" w:sz="4" w:space="0" w:color="auto"/>
              <w:right w:val="single" w:sz="4" w:space="0" w:color="auto"/>
            </w:tcBorders>
            <w:shd w:val="clear" w:color="auto" w:fill="auto"/>
            <w:hideMark/>
          </w:tcPr>
          <w:p w14:paraId="011A66B3" w14:textId="77777777" w:rsidR="00AA0281" w:rsidRPr="00C27ADB" w:rsidRDefault="00AA0281" w:rsidP="007B5AFD">
            <w:pPr>
              <w:rPr>
                <w:rFonts w:ascii="Arial Narrow" w:hAnsi="Arial Narrow" w:cs="Calibri"/>
                <w:sz w:val="20"/>
                <w:szCs w:val="20"/>
                <w:lang w:eastAsia="hr-HR"/>
              </w:rPr>
            </w:pPr>
            <w:r w:rsidRPr="00C27ADB">
              <w:rPr>
                <w:rFonts w:ascii="Arial Narrow" w:hAnsi="Arial Narrow" w:cs="Calibri"/>
                <w:sz w:val="20"/>
                <w:szCs w:val="20"/>
                <w:lang w:eastAsia="hr-HR"/>
              </w:rPr>
              <w:t>A610151 Savjetovalište za spolno zdravlje mladih u IŽ</w:t>
            </w:r>
          </w:p>
        </w:tc>
        <w:tc>
          <w:tcPr>
            <w:tcW w:w="1496" w:type="dxa"/>
            <w:tcBorders>
              <w:top w:val="nil"/>
              <w:left w:val="nil"/>
              <w:bottom w:val="single" w:sz="4" w:space="0" w:color="auto"/>
              <w:right w:val="single" w:sz="4" w:space="0" w:color="auto"/>
            </w:tcBorders>
            <w:shd w:val="clear" w:color="auto" w:fill="auto"/>
            <w:noWrap/>
            <w:vAlign w:val="center"/>
          </w:tcPr>
          <w:p w14:paraId="6CE29CAB" w14:textId="77777777" w:rsidR="00AA0281" w:rsidRPr="00C27ADB" w:rsidRDefault="00AA0281" w:rsidP="007B5AFD">
            <w:pPr>
              <w:jc w:val="center"/>
              <w:rPr>
                <w:rFonts w:ascii="Arial Narrow" w:hAnsi="Arial Narrow" w:cs="Calibri"/>
                <w:color w:val="FF0000"/>
                <w:sz w:val="20"/>
                <w:szCs w:val="20"/>
                <w:lang w:eastAsia="hr-HR"/>
              </w:rPr>
            </w:pPr>
            <w:r w:rsidRPr="00C27ADB">
              <w:rPr>
                <w:rFonts w:ascii="Arial Narrow" w:hAnsi="Arial Narrow" w:cs="Calibri"/>
                <w:sz w:val="20"/>
                <w:szCs w:val="20"/>
                <w:lang w:eastAsia="hr-HR"/>
              </w:rPr>
              <w:t>21.899,00 EUR</w:t>
            </w:r>
          </w:p>
        </w:tc>
      </w:tr>
    </w:tbl>
    <w:p w14:paraId="609884DA" w14:textId="77777777" w:rsidR="00AA0281" w:rsidRDefault="00AA0281" w:rsidP="00AA0281">
      <w:pPr>
        <w:ind w:left="360"/>
      </w:pPr>
    </w:p>
    <w:p w14:paraId="67998899" w14:textId="77777777" w:rsidR="00B83203" w:rsidRDefault="00B83203" w:rsidP="00AA0281">
      <w:pPr>
        <w:ind w:left="360"/>
      </w:pPr>
    </w:p>
    <w:p w14:paraId="562D9C2D" w14:textId="77777777" w:rsidR="00AA0281" w:rsidRPr="007C3562" w:rsidRDefault="00AA0281" w:rsidP="00AA0281">
      <w:pPr>
        <w:pStyle w:val="ListParagraph"/>
        <w:numPr>
          <w:ilvl w:val="0"/>
          <w:numId w:val="28"/>
        </w:numPr>
        <w:rPr>
          <w:b/>
        </w:rPr>
      </w:pPr>
      <w:r w:rsidRPr="007C3562">
        <w:rPr>
          <w:b/>
        </w:rPr>
        <w:t>Pokazatelji uspješnosti</w:t>
      </w:r>
    </w:p>
    <w:p w14:paraId="2ECD434A" w14:textId="77777777" w:rsidR="00AA0281" w:rsidRPr="0004138E" w:rsidRDefault="00AA0281" w:rsidP="00AA0281">
      <w:pPr>
        <w:ind w:left="360"/>
        <w:rPr>
          <w:b/>
        </w:rPr>
      </w:pPr>
    </w:p>
    <w:tbl>
      <w:tblPr>
        <w:tblW w:w="8833" w:type="dxa"/>
        <w:tblInd w:w="93" w:type="dxa"/>
        <w:tblLook w:val="04A0" w:firstRow="1" w:lastRow="0" w:firstColumn="1" w:lastColumn="0" w:noHBand="0" w:noVBand="1"/>
      </w:tblPr>
      <w:tblGrid>
        <w:gridCol w:w="4438"/>
        <w:gridCol w:w="1134"/>
        <w:gridCol w:w="1134"/>
        <w:gridCol w:w="2127"/>
      </w:tblGrid>
      <w:tr w:rsidR="00AA0281" w:rsidRPr="00C2138A" w14:paraId="134C3291" w14:textId="77777777" w:rsidTr="007B5AFD">
        <w:trPr>
          <w:trHeight w:val="480"/>
        </w:trPr>
        <w:tc>
          <w:tcPr>
            <w:tcW w:w="4438" w:type="dxa"/>
            <w:tcBorders>
              <w:top w:val="single" w:sz="4" w:space="0" w:color="auto"/>
              <w:left w:val="single" w:sz="4" w:space="0" w:color="auto"/>
              <w:bottom w:val="single" w:sz="4" w:space="0" w:color="auto"/>
              <w:right w:val="nil"/>
            </w:tcBorders>
            <w:shd w:val="clear" w:color="000000" w:fill="F2F2F2"/>
            <w:vAlign w:val="center"/>
            <w:hideMark/>
          </w:tcPr>
          <w:p w14:paraId="139B38AA"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D98FE0"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69714E1A"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2127" w:type="dxa"/>
            <w:tcBorders>
              <w:top w:val="single" w:sz="4" w:space="0" w:color="auto"/>
              <w:left w:val="nil"/>
              <w:bottom w:val="single" w:sz="4" w:space="0" w:color="auto"/>
              <w:right w:val="single" w:sz="4" w:space="0" w:color="auto"/>
            </w:tcBorders>
            <w:shd w:val="clear" w:color="000000" w:fill="F2F2F2"/>
            <w:noWrap/>
            <w:vAlign w:val="center"/>
            <w:hideMark/>
          </w:tcPr>
          <w:p w14:paraId="3ACE3175"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C05B6F" w14:paraId="5CA5A699" w14:textId="77777777" w:rsidTr="007B5AFD">
        <w:trPr>
          <w:trHeight w:val="283"/>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CAF14" w14:textId="77777777" w:rsidR="00AA0281" w:rsidRPr="00C27ADB" w:rsidRDefault="00AA0281" w:rsidP="007B5AFD">
            <w:pPr>
              <w:rPr>
                <w:rFonts w:ascii="Arial Narrow" w:hAnsi="Arial Narrow" w:cs="Calibri"/>
                <w:bCs/>
                <w:color w:val="000000"/>
                <w:sz w:val="20"/>
                <w:szCs w:val="20"/>
                <w:lang w:eastAsia="hr-HR"/>
              </w:rPr>
            </w:pPr>
            <w:r w:rsidRPr="00C27ADB">
              <w:rPr>
                <w:rFonts w:ascii="Arial Narrow" w:hAnsi="Arial Narrow" w:cs="Calibri"/>
                <w:bCs/>
                <w:color w:val="000000"/>
                <w:sz w:val="20"/>
                <w:szCs w:val="20"/>
                <w:lang w:eastAsia="hr-HR"/>
              </w:rPr>
              <w:t>Broj educiranih učenika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157A44"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1.330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006109"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1.600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C978A68"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3.554</w:t>
            </w:r>
          </w:p>
        </w:tc>
      </w:tr>
      <w:tr w:rsidR="00AA0281" w:rsidRPr="00C2138A" w14:paraId="49208E61" w14:textId="77777777" w:rsidTr="007B5AFD">
        <w:trPr>
          <w:trHeight w:val="283"/>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52E4C" w14:textId="77777777" w:rsidR="00AA0281" w:rsidRPr="00C27ADB" w:rsidRDefault="00AA0281" w:rsidP="007B5AFD">
            <w:pPr>
              <w:rPr>
                <w:rFonts w:ascii="Arial Narrow" w:hAnsi="Arial Narrow" w:cs="Calibri"/>
                <w:bCs/>
                <w:color w:val="000000"/>
                <w:sz w:val="20"/>
                <w:szCs w:val="20"/>
                <w:lang w:eastAsia="hr-HR"/>
              </w:rPr>
            </w:pPr>
            <w:r w:rsidRPr="00C27ADB">
              <w:rPr>
                <w:rFonts w:ascii="Arial Narrow" w:hAnsi="Arial Narrow" w:cs="Calibri"/>
                <w:bCs/>
                <w:color w:val="000000"/>
                <w:sz w:val="20"/>
                <w:szCs w:val="20"/>
                <w:lang w:eastAsia="hr-HR"/>
              </w:rPr>
              <w:t>Broj savjetovanja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FDF6F9"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49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F86E60"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50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FAF0A08"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101</w:t>
            </w:r>
          </w:p>
        </w:tc>
      </w:tr>
    </w:tbl>
    <w:p w14:paraId="0102F5EF" w14:textId="77777777" w:rsidR="00AA0281" w:rsidRDefault="00AA0281" w:rsidP="00AA0281">
      <w:pPr>
        <w:rPr>
          <w:rFonts w:ascii="Arial" w:hAnsi="Arial" w:cs="Arial"/>
          <w:b/>
        </w:rPr>
      </w:pPr>
    </w:p>
    <w:p w14:paraId="756C822B" w14:textId="77777777" w:rsidR="00AA0281" w:rsidRPr="007C3562" w:rsidRDefault="00AA0281" w:rsidP="00AA0281">
      <w:pPr>
        <w:rPr>
          <w:b/>
        </w:rPr>
      </w:pPr>
      <w:r w:rsidRPr="007C3562">
        <w:rPr>
          <w:b/>
        </w:rPr>
        <w:t>Izvještaj o postignutim ciljevima i rezultatima programa temeljenim na pokazateljima uspješnosti:</w:t>
      </w:r>
    </w:p>
    <w:p w14:paraId="5ECA9BF0" w14:textId="77777777" w:rsidR="00AA0281" w:rsidRPr="007C3562" w:rsidRDefault="00AA0281" w:rsidP="00AA0281">
      <w:pPr>
        <w:jc w:val="both"/>
        <w:rPr>
          <w:rFonts w:eastAsia="Calibri"/>
          <w:color w:val="FF0000"/>
        </w:rPr>
      </w:pPr>
    </w:p>
    <w:p w14:paraId="1DCD2AD2" w14:textId="77777777" w:rsidR="00AA0281" w:rsidRPr="007C3562" w:rsidRDefault="00AA0281" w:rsidP="00AA0281">
      <w:pPr>
        <w:jc w:val="both"/>
      </w:pPr>
      <w:r w:rsidRPr="007C3562">
        <w:t>Savjetovališta za spolno zdravlje mladih u 7 istarskih gradova provela su 101 savjetovanje. Provedeno je 191 edukacija s prisutnih 3.554 učenika, a o</w:t>
      </w:r>
      <w:r w:rsidRPr="007C3562">
        <w:rPr>
          <w:bCs/>
        </w:rPr>
        <w:t xml:space="preserve">držana su 2 predavanje za </w:t>
      </w:r>
      <w:r w:rsidRPr="007C3562">
        <w:rPr>
          <w:bCs/>
        </w:rPr>
        <w:lastRenderedPageBreak/>
        <w:t>obrazovne radnike „</w:t>
      </w:r>
      <w:r w:rsidRPr="007C3562">
        <w:t>Seksualno ponašanje u školskom okruženju„ i „</w:t>
      </w:r>
      <w:r w:rsidRPr="007C3562">
        <w:rPr>
          <w:bCs/>
        </w:rPr>
        <w:t>Odgovorno seksualno ponašanje mladih“</w:t>
      </w:r>
      <w:r w:rsidRPr="007C3562">
        <w:t xml:space="preserve"> s 147 učesnika.</w:t>
      </w:r>
    </w:p>
    <w:p w14:paraId="40E670EF" w14:textId="5C6D9B6C" w:rsidR="00AA0281" w:rsidRDefault="00AA0281" w:rsidP="00AA0281">
      <w:pPr>
        <w:pStyle w:val="BodyTextIndent"/>
        <w:spacing w:after="0"/>
        <w:ind w:left="0"/>
        <w:rPr>
          <w:rFonts w:ascii="Times New Roman" w:hAnsi="Times New Roman"/>
          <w:color w:val="FF0000"/>
          <w:sz w:val="24"/>
          <w:szCs w:val="24"/>
        </w:rPr>
      </w:pPr>
      <w:r w:rsidRPr="007C3562">
        <w:rPr>
          <w:rFonts w:ascii="Times New Roman" w:hAnsi="Times New Roman"/>
          <w:color w:val="FF0000"/>
          <w:sz w:val="24"/>
          <w:szCs w:val="24"/>
        </w:rPr>
        <w:t xml:space="preserve"> </w:t>
      </w:r>
    </w:p>
    <w:p w14:paraId="081A532A" w14:textId="77777777" w:rsidR="00B83203" w:rsidRDefault="00B83203" w:rsidP="00AA0281">
      <w:pPr>
        <w:pStyle w:val="BodyTextIndent"/>
        <w:spacing w:after="0"/>
        <w:ind w:left="0"/>
        <w:rPr>
          <w:rFonts w:ascii="Times New Roman" w:hAnsi="Times New Roman"/>
          <w:color w:val="FF0000"/>
          <w:sz w:val="24"/>
          <w:szCs w:val="24"/>
        </w:rPr>
      </w:pPr>
    </w:p>
    <w:p w14:paraId="2BB18B3F" w14:textId="77777777" w:rsidR="00F74977" w:rsidRPr="007C3562" w:rsidRDefault="00F74977" w:rsidP="00AA0281">
      <w:pPr>
        <w:pStyle w:val="BodyTextIndent"/>
        <w:spacing w:after="0"/>
        <w:ind w:left="0"/>
        <w:rPr>
          <w:rFonts w:ascii="Times New Roman" w:hAnsi="Times New Roman"/>
          <w:color w:val="FF0000"/>
          <w:sz w:val="24"/>
          <w:szCs w:val="24"/>
        </w:rPr>
      </w:pPr>
    </w:p>
    <w:p w14:paraId="63876A8C" w14:textId="77777777" w:rsidR="00AA0281" w:rsidRPr="007C3562" w:rsidRDefault="00AA0281" w:rsidP="00AA0281">
      <w:pPr>
        <w:pStyle w:val="NoSpacing"/>
        <w:numPr>
          <w:ilvl w:val="1"/>
          <w:numId w:val="27"/>
        </w:numPr>
        <w:jc w:val="both"/>
        <w:rPr>
          <w:b/>
          <w:bCs/>
          <w:szCs w:val="24"/>
        </w:rPr>
      </w:pPr>
      <w:bookmarkStart w:id="10" w:name="_Hlk160531777"/>
      <w:r w:rsidRPr="007C3562">
        <w:rPr>
          <w:b/>
          <w:bCs/>
          <w:szCs w:val="24"/>
        </w:rPr>
        <w:t xml:space="preserve">AKTIVNOST: Program praćenja ekološkog stanja okoliša uslijed rada ŽCGO Kaštijun  </w:t>
      </w:r>
    </w:p>
    <w:bookmarkEnd w:id="10"/>
    <w:p w14:paraId="5D0F6203" w14:textId="77777777" w:rsidR="00AA0281" w:rsidRPr="007C3562" w:rsidRDefault="00AA0281" w:rsidP="00AA0281">
      <w:pPr>
        <w:pStyle w:val="NoSpacing"/>
        <w:jc w:val="both"/>
        <w:rPr>
          <w:szCs w:val="24"/>
        </w:rPr>
      </w:pPr>
    </w:p>
    <w:p w14:paraId="322FEF2C" w14:textId="77777777" w:rsidR="00AA0281" w:rsidRPr="007C3562" w:rsidRDefault="00AA0281" w:rsidP="00AA0281">
      <w:pPr>
        <w:pStyle w:val="NoSpacing"/>
        <w:numPr>
          <w:ilvl w:val="0"/>
          <w:numId w:val="29"/>
        </w:numPr>
        <w:jc w:val="both"/>
        <w:rPr>
          <w:szCs w:val="24"/>
        </w:rPr>
      </w:pPr>
      <w:r w:rsidRPr="007C3562">
        <w:rPr>
          <w:b/>
          <w:color w:val="000000"/>
          <w:szCs w:val="24"/>
        </w:rPr>
        <w:t xml:space="preserve">Obrazloženje: </w:t>
      </w:r>
      <w:r w:rsidRPr="007C3562">
        <w:rPr>
          <w:szCs w:val="24"/>
        </w:rPr>
        <w:t>Provodit će se olfaktometrijska mjerenja, praćenje kvalitete zraka (PM 2,5 frakcija i metali), kvalitete podzemnih voda (pijezometri) i kvaliteta tla.</w:t>
      </w:r>
    </w:p>
    <w:p w14:paraId="28699D71" w14:textId="77777777" w:rsidR="00062C3C" w:rsidRDefault="00062C3C" w:rsidP="00062C3C">
      <w:pPr>
        <w:pStyle w:val="ListParagraph"/>
        <w:ind w:left="643"/>
        <w:rPr>
          <w:b/>
        </w:rPr>
      </w:pPr>
    </w:p>
    <w:p w14:paraId="267B24A1" w14:textId="74F53637" w:rsidR="00AA0281" w:rsidRPr="007C3562" w:rsidRDefault="00AA0281" w:rsidP="00AA0281">
      <w:pPr>
        <w:pStyle w:val="ListParagraph"/>
        <w:numPr>
          <w:ilvl w:val="0"/>
          <w:numId w:val="29"/>
        </w:numPr>
        <w:rPr>
          <w:b/>
        </w:rPr>
      </w:pPr>
      <w:r w:rsidRPr="007C3562">
        <w:rPr>
          <w:b/>
        </w:rPr>
        <w:t>Cilj uspješnosti</w:t>
      </w:r>
    </w:p>
    <w:p w14:paraId="6F4990CF" w14:textId="77777777" w:rsidR="00AA0281" w:rsidRDefault="00AA0281" w:rsidP="00AA0281"/>
    <w:tbl>
      <w:tblPr>
        <w:tblW w:w="9116" w:type="dxa"/>
        <w:tblInd w:w="93" w:type="dxa"/>
        <w:tblLook w:val="04A0" w:firstRow="1" w:lastRow="0" w:firstColumn="1" w:lastColumn="0" w:noHBand="0" w:noVBand="1"/>
      </w:tblPr>
      <w:tblGrid>
        <w:gridCol w:w="2860"/>
        <w:gridCol w:w="2380"/>
        <w:gridCol w:w="2380"/>
        <w:gridCol w:w="1496"/>
      </w:tblGrid>
      <w:tr w:rsidR="00AA0281" w:rsidRPr="00C2138A" w14:paraId="4AB68816" w14:textId="77777777" w:rsidTr="00523E00">
        <w:trPr>
          <w:trHeight w:val="30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74454092"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FCB061F"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3BF0324B" w14:textId="77777777" w:rsidTr="00523E00">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578F9001" w14:textId="77777777" w:rsidR="00AA0281" w:rsidRPr="000E330E" w:rsidRDefault="00AA0281" w:rsidP="007B5AFD">
            <w:pPr>
              <w:rPr>
                <w:rFonts w:ascii="Arial Narrow" w:hAnsi="Arial Narrow" w:cs="Calibri"/>
                <w:b/>
                <w:bCs/>
                <w:color w:val="000000"/>
                <w:sz w:val="18"/>
                <w:szCs w:val="18"/>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3994524D"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0A2628F2"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74FD7EA3" w14:textId="646CBB91"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B06BF" w:rsidRPr="000E330E">
              <w:rPr>
                <w:rFonts w:ascii="Arial Narrow" w:hAnsi="Arial Narrow" w:cs="Calibri"/>
                <w:b/>
                <w:bCs/>
                <w:sz w:val="18"/>
                <w:szCs w:val="18"/>
                <w:lang w:eastAsia="hr-HR"/>
              </w:rPr>
              <w:t>-OSIGURANA SREDSTVA U PRORAČUNU IŽ</w:t>
            </w:r>
          </w:p>
        </w:tc>
      </w:tr>
      <w:tr w:rsidR="00AA0281" w:rsidRPr="00C2138A" w14:paraId="746EBB73" w14:textId="77777777" w:rsidTr="00523E00">
        <w:trPr>
          <w:trHeight w:val="72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8C6437D" w14:textId="77777777" w:rsidR="00AA0281" w:rsidRPr="00C27ADB" w:rsidRDefault="00AA0281" w:rsidP="007B5AFD">
            <w:pPr>
              <w:rPr>
                <w:rFonts w:ascii="Arial Narrow" w:hAnsi="Arial Narrow" w:cs="Calibri"/>
                <w:color w:val="000000"/>
                <w:sz w:val="20"/>
                <w:szCs w:val="20"/>
                <w:lang w:eastAsia="hr-HR"/>
              </w:rPr>
            </w:pPr>
            <w:r w:rsidRPr="00C27ADB">
              <w:rPr>
                <w:rFonts w:ascii="Arial Narrow" w:hAnsi="Arial Narrow" w:cs="Calibri"/>
                <w:color w:val="000000"/>
                <w:sz w:val="20"/>
                <w:szCs w:val="20"/>
                <w:lang w:eastAsia="hr-HR"/>
              </w:rPr>
              <w:t>1.5.1. Održivo gospodarenje otpadom</w:t>
            </w:r>
          </w:p>
        </w:tc>
        <w:tc>
          <w:tcPr>
            <w:tcW w:w="2380" w:type="dxa"/>
            <w:tcBorders>
              <w:top w:val="nil"/>
              <w:left w:val="nil"/>
              <w:bottom w:val="single" w:sz="4" w:space="0" w:color="auto"/>
              <w:right w:val="single" w:sz="4" w:space="0" w:color="auto"/>
            </w:tcBorders>
            <w:shd w:val="clear" w:color="auto" w:fill="auto"/>
            <w:vAlign w:val="center"/>
            <w:hideMark/>
          </w:tcPr>
          <w:p w14:paraId="3917B687" w14:textId="77777777" w:rsidR="00AA0281" w:rsidRPr="00C27ADB" w:rsidRDefault="00AA0281" w:rsidP="007B5AFD">
            <w:pPr>
              <w:rPr>
                <w:rFonts w:ascii="Arial Narrow" w:hAnsi="Arial Narrow" w:cs="Calibri"/>
                <w:color w:val="000000"/>
                <w:sz w:val="20"/>
                <w:szCs w:val="20"/>
                <w:lang w:eastAsia="hr-HR"/>
              </w:rPr>
            </w:pPr>
            <w:r w:rsidRPr="00C27ADB">
              <w:rPr>
                <w:rFonts w:ascii="Arial Narrow" w:hAnsi="Arial Narrow" w:cs="Calibri"/>
                <w:color w:val="000000"/>
                <w:sz w:val="20"/>
                <w:szCs w:val="20"/>
                <w:lang w:eastAsia="hr-HR"/>
              </w:rPr>
              <w:t>6101 Plan za zdravlje i socijalno blagostanje</w:t>
            </w:r>
          </w:p>
        </w:tc>
        <w:tc>
          <w:tcPr>
            <w:tcW w:w="2380" w:type="dxa"/>
            <w:tcBorders>
              <w:top w:val="nil"/>
              <w:left w:val="nil"/>
              <w:bottom w:val="single" w:sz="4" w:space="0" w:color="auto"/>
              <w:right w:val="single" w:sz="4" w:space="0" w:color="auto"/>
            </w:tcBorders>
            <w:shd w:val="clear" w:color="auto" w:fill="auto"/>
            <w:vAlign w:val="center"/>
            <w:hideMark/>
          </w:tcPr>
          <w:p w14:paraId="5DC221A6" w14:textId="77777777" w:rsidR="00AA0281" w:rsidRPr="00C27ADB" w:rsidRDefault="00AA0281" w:rsidP="007B5AFD">
            <w:pPr>
              <w:rPr>
                <w:rFonts w:ascii="Arial Narrow" w:hAnsi="Arial Narrow" w:cs="Calibri"/>
                <w:color w:val="000000"/>
                <w:sz w:val="20"/>
                <w:szCs w:val="20"/>
                <w:lang w:eastAsia="hr-HR"/>
              </w:rPr>
            </w:pPr>
            <w:r w:rsidRPr="00C27ADB">
              <w:rPr>
                <w:rFonts w:ascii="Arial Narrow" w:hAnsi="Arial Narrow" w:cs="Calibri"/>
                <w:color w:val="000000"/>
                <w:sz w:val="20"/>
                <w:szCs w:val="20"/>
                <w:lang w:eastAsia="hr-HR"/>
              </w:rPr>
              <w:t>A610157 Studija utjecaja rada ŽCGO Kaštijun na zdravlje i okoliš</w:t>
            </w:r>
          </w:p>
        </w:tc>
        <w:tc>
          <w:tcPr>
            <w:tcW w:w="1496" w:type="dxa"/>
            <w:tcBorders>
              <w:top w:val="nil"/>
              <w:left w:val="nil"/>
              <w:bottom w:val="single" w:sz="4" w:space="0" w:color="auto"/>
              <w:right w:val="single" w:sz="4" w:space="0" w:color="auto"/>
            </w:tcBorders>
            <w:shd w:val="clear" w:color="auto" w:fill="auto"/>
            <w:vAlign w:val="center"/>
            <w:hideMark/>
          </w:tcPr>
          <w:p w14:paraId="7B91B784" w14:textId="77777777" w:rsidR="00AA0281" w:rsidRPr="00C27ADB" w:rsidRDefault="00AA0281" w:rsidP="007B5AFD">
            <w:pPr>
              <w:jc w:val="center"/>
              <w:rPr>
                <w:rFonts w:ascii="Arial Narrow" w:hAnsi="Arial Narrow" w:cs="Calibri"/>
                <w:bCs/>
                <w:sz w:val="20"/>
                <w:szCs w:val="20"/>
              </w:rPr>
            </w:pPr>
            <w:r w:rsidRPr="00C27ADB">
              <w:rPr>
                <w:rFonts w:ascii="Arial Narrow" w:hAnsi="Arial Narrow" w:cs="Calibri"/>
                <w:bCs/>
                <w:sz w:val="20"/>
                <w:szCs w:val="20"/>
              </w:rPr>
              <w:t>23.359,00 EUR</w:t>
            </w:r>
          </w:p>
          <w:p w14:paraId="203A3778" w14:textId="77777777" w:rsidR="00AA0281" w:rsidRPr="00C27ADB" w:rsidRDefault="00AA0281" w:rsidP="007B5AFD">
            <w:pPr>
              <w:jc w:val="center"/>
              <w:rPr>
                <w:rFonts w:ascii="Arial Narrow" w:hAnsi="Arial Narrow" w:cs="Calibri"/>
                <w:bCs/>
                <w:color w:val="FF0000"/>
                <w:sz w:val="20"/>
                <w:szCs w:val="20"/>
                <w:lang w:eastAsia="hr-HR"/>
              </w:rPr>
            </w:pPr>
          </w:p>
        </w:tc>
      </w:tr>
    </w:tbl>
    <w:p w14:paraId="5351EF25" w14:textId="77777777" w:rsidR="00F74977" w:rsidRDefault="00F74977" w:rsidP="00F74977">
      <w:pPr>
        <w:pStyle w:val="ListParagraph"/>
        <w:ind w:left="360"/>
        <w:rPr>
          <w:b/>
        </w:rPr>
      </w:pPr>
      <w:bookmarkStart w:id="11" w:name="_Hlk160531857"/>
    </w:p>
    <w:p w14:paraId="218555CB" w14:textId="09504206" w:rsidR="00AA0281" w:rsidRPr="007C3562" w:rsidRDefault="00AA0281" w:rsidP="00AA0281">
      <w:pPr>
        <w:pStyle w:val="ListParagraph"/>
        <w:numPr>
          <w:ilvl w:val="0"/>
          <w:numId w:val="28"/>
        </w:numPr>
        <w:rPr>
          <w:b/>
        </w:rPr>
      </w:pPr>
      <w:r w:rsidRPr="007C3562">
        <w:rPr>
          <w:b/>
        </w:rPr>
        <w:t>Pokazatelji uspješnosti</w:t>
      </w:r>
    </w:p>
    <w:p w14:paraId="13390CBD" w14:textId="77777777" w:rsidR="00AA0281" w:rsidRPr="003422BA" w:rsidRDefault="00AA0281" w:rsidP="00AA0281">
      <w:pPr>
        <w:rPr>
          <w:rFonts w:cs="Arial"/>
          <w:b/>
        </w:rPr>
      </w:pPr>
    </w:p>
    <w:tbl>
      <w:tblPr>
        <w:tblW w:w="8920" w:type="dxa"/>
        <w:tblInd w:w="93" w:type="dxa"/>
        <w:tblLook w:val="04A0" w:firstRow="1" w:lastRow="0" w:firstColumn="1" w:lastColumn="0" w:noHBand="0" w:noVBand="1"/>
      </w:tblPr>
      <w:tblGrid>
        <w:gridCol w:w="4864"/>
        <w:gridCol w:w="1134"/>
        <w:gridCol w:w="1079"/>
        <w:gridCol w:w="1843"/>
      </w:tblGrid>
      <w:tr w:rsidR="00AA0281" w:rsidRPr="00C2138A" w14:paraId="5FBEAB26" w14:textId="77777777" w:rsidTr="007B5AFD">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0EAA66C9" w14:textId="77777777" w:rsidR="00AA0281" w:rsidRPr="000E330E" w:rsidRDefault="00AA0281" w:rsidP="007B5AFD">
            <w:pP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35E25F"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403A1693"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0F80EADC"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tr w:rsidR="00AA0281" w:rsidRPr="00C15CF2" w14:paraId="4D918D51" w14:textId="77777777" w:rsidTr="007B5AFD">
        <w:trPr>
          <w:trHeight w:val="141"/>
        </w:trPr>
        <w:tc>
          <w:tcPr>
            <w:tcW w:w="4864" w:type="dxa"/>
            <w:tcBorders>
              <w:top w:val="nil"/>
              <w:left w:val="single" w:sz="4" w:space="0" w:color="auto"/>
              <w:bottom w:val="single" w:sz="4" w:space="0" w:color="auto"/>
              <w:right w:val="single" w:sz="4" w:space="0" w:color="auto"/>
            </w:tcBorders>
            <w:shd w:val="clear" w:color="auto" w:fill="auto"/>
            <w:noWrap/>
            <w:vAlign w:val="center"/>
          </w:tcPr>
          <w:p w14:paraId="30B8B79C" w14:textId="77777777" w:rsidR="00AA0281" w:rsidRPr="00C27ADB" w:rsidRDefault="00AA0281" w:rsidP="007B5AFD">
            <w:pPr>
              <w:rPr>
                <w:rFonts w:ascii="Arial Narrow" w:hAnsi="Arial Narrow" w:cs="Calibri"/>
                <w:bCs/>
                <w:sz w:val="20"/>
                <w:szCs w:val="20"/>
                <w:lang w:eastAsia="hr-HR"/>
              </w:rPr>
            </w:pPr>
            <w:r w:rsidRPr="00C27ADB">
              <w:rPr>
                <w:rFonts w:ascii="Arial Narrow" w:hAnsi="Arial Narrow" w:cs="Arial"/>
                <w:sz w:val="20"/>
                <w:szCs w:val="20"/>
              </w:rPr>
              <w:t>Broj provedenih olfaktometrijskih mjerenja</w:t>
            </w:r>
          </w:p>
        </w:tc>
        <w:tc>
          <w:tcPr>
            <w:tcW w:w="1134" w:type="dxa"/>
            <w:tcBorders>
              <w:top w:val="nil"/>
              <w:left w:val="nil"/>
              <w:bottom w:val="single" w:sz="4" w:space="0" w:color="auto"/>
              <w:right w:val="single" w:sz="4" w:space="0" w:color="auto"/>
            </w:tcBorders>
            <w:shd w:val="clear" w:color="auto" w:fill="auto"/>
            <w:noWrap/>
            <w:vAlign w:val="center"/>
          </w:tcPr>
          <w:p w14:paraId="3968973E"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3.100</w:t>
            </w:r>
          </w:p>
        </w:tc>
        <w:tc>
          <w:tcPr>
            <w:tcW w:w="1079" w:type="dxa"/>
            <w:tcBorders>
              <w:top w:val="nil"/>
              <w:left w:val="nil"/>
              <w:bottom w:val="single" w:sz="4" w:space="0" w:color="auto"/>
              <w:right w:val="single" w:sz="4" w:space="0" w:color="auto"/>
            </w:tcBorders>
            <w:shd w:val="clear" w:color="auto" w:fill="auto"/>
            <w:noWrap/>
            <w:vAlign w:val="center"/>
          </w:tcPr>
          <w:p w14:paraId="7C7EE882"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3.100</w:t>
            </w:r>
          </w:p>
        </w:tc>
        <w:tc>
          <w:tcPr>
            <w:tcW w:w="1843" w:type="dxa"/>
            <w:tcBorders>
              <w:top w:val="nil"/>
              <w:left w:val="nil"/>
              <w:bottom w:val="single" w:sz="4" w:space="0" w:color="auto"/>
              <w:right w:val="single" w:sz="4" w:space="0" w:color="auto"/>
            </w:tcBorders>
            <w:shd w:val="clear" w:color="auto" w:fill="auto"/>
            <w:noWrap/>
            <w:vAlign w:val="center"/>
          </w:tcPr>
          <w:p w14:paraId="2BAAABE7"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3.104</w:t>
            </w:r>
          </w:p>
        </w:tc>
      </w:tr>
      <w:tr w:rsidR="00AA0281" w:rsidRPr="00C15CF2" w14:paraId="2F621065" w14:textId="77777777" w:rsidTr="007B5AFD">
        <w:trPr>
          <w:trHeight w:val="141"/>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73271" w14:textId="77777777" w:rsidR="00AA0281" w:rsidRPr="00C27ADB" w:rsidRDefault="00AA0281" w:rsidP="007B5AFD">
            <w:pPr>
              <w:rPr>
                <w:rFonts w:ascii="Arial Narrow" w:hAnsi="Arial Narrow" w:cs="Arial"/>
                <w:sz w:val="20"/>
                <w:szCs w:val="20"/>
              </w:rPr>
            </w:pPr>
            <w:r w:rsidRPr="00C27ADB">
              <w:rPr>
                <w:rFonts w:ascii="Arial Narrow" w:hAnsi="Arial Narrow" w:cs="Arial"/>
                <w:sz w:val="20"/>
                <w:szCs w:val="20"/>
              </w:rPr>
              <w:t>Broj mjerenja PM (10 ili 2,5) čestica i metala u njima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8706F9"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4</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522343D7"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DEE7097"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4</w:t>
            </w:r>
          </w:p>
        </w:tc>
      </w:tr>
      <w:tr w:rsidR="00AA0281" w:rsidRPr="00C2138A" w14:paraId="455E77A2" w14:textId="77777777" w:rsidTr="007B5AFD">
        <w:trPr>
          <w:trHeight w:val="141"/>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BCDBA" w14:textId="77777777" w:rsidR="00AA0281" w:rsidRPr="00C27ADB" w:rsidRDefault="00AA0281" w:rsidP="007B5AFD">
            <w:pPr>
              <w:rPr>
                <w:rFonts w:ascii="Arial Narrow" w:hAnsi="Arial Narrow" w:cs="Arial"/>
                <w:sz w:val="20"/>
                <w:szCs w:val="20"/>
              </w:rPr>
            </w:pPr>
            <w:r w:rsidRPr="00C27ADB">
              <w:rPr>
                <w:rFonts w:ascii="Arial Narrow" w:hAnsi="Arial Narrow" w:cs="Arial"/>
                <w:sz w:val="20"/>
                <w:szCs w:val="20"/>
              </w:rPr>
              <w:t>Broj analiza podzemnih voda (pijezometri)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B04D03"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9</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778729E7"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5F7D81"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9</w:t>
            </w:r>
          </w:p>
        </w:tc>
      </w:tr>
      <w:tr w:rsidR="00AA0281" w:rsidRPr="00C15CF2" w14:paraId="52B6BAB0" w14:textId="77777777" w:rsidTr="007B5AFD">
        <w:trPr>
          <w:trHeight w:val="141"/>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05D6A" w14:textId="77777777" w:rsidR="00AA0281" w:rsidRPr="00C27ADB" w:rsidRDefault="00AA0281" w:rsidP="007B5AFD">
            <w:pPr>
              <w:rPr>
                <w:rFonts w:ascii="Arial Narrow" w:hAnsi="Arial Narrow" w:cs="Arial"/>
                <w:sz w:val="20"/>
                <w:szCs w:val="20"/>
              </w:rPr>
            </w:pPr>
            <w:r w:rsidRPr="00C27ADB">
              <w:rPr>
                <w:rFonts w:ascii="Arial Narrow" w:hAnsi="Arial Narrow" w:cs="Arial"/>
                <w:sz w:val="20"/>
                <w:szCs w:val="20"/>
              </w:rPr>
              <w:t>Broj analiza tla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AC83FF"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6</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0D50BB56"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D2F82B8"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9</w:t>
            </w:r>
          </w:p>
        </w:tc>
      </w:tr>
      <w:tr w:rsidR="00AA0281" w:rsidRPr="00C15CF2" w14:paraId="5CBB1FA5" w14:textId="77777777" w:rsidTr="007B5AFD">
        <w:trPr>
          <w:trHeight w:val="141"/>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4D6DE" w14:textId="77777777" w:rsidR="00AA0281" w:rsidRPr="00C27ADB" w:rsidRDefault="00AA0281" w:rsidP="007B5AFD">
            <w:pPr>
              <w:rPr>
                <w:rFonts w:ascii="Arial Narrow" w:hAnsi="Arial Narrow" w:cs="Arial"/>
                <w:sz w:val="20"/>
                <w:szCs w:val="20"/>
              </w:rPr>
            </w:pPr>
            <w:r w:rsidRPr="00C27ADB">
              <w:rPr>
                <w:rFonts w:ascii="Arial Narrow" w:hAnsi="Arial Narrow" w:cs="Calibri"/>
                <w:bCs/>
                <w:sz w:val="20"/>
                <w:szCs w:val="20"/>
                <w:lang w:eastAsia="hr-HR"/>
              </w:rPr>
              <w:t xml:space="preserve"> Izrađeno izvješće programa praćenja ekološkog stanja okoliša uslijed rada ŽCGO Kaštijun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53CFD2"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0958AEF1"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3C0C93"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w:t>
            </w:r>
          </w:p>
        </w:tc>
      </w:tr>
    </w:tbl>
    <w:p w14:paraId="11B9D848" w14:textId="77777777" w:rsidR="00AA0281" w:rsidRPr="00952434" w:rsidRDefault="00AA0281" w:rsidP="00AA0281">
      <w:pPr>
        <w:rPr>
          <w:rFonts w:ascii="Arial" w:hAnsi="Arial" w:cs="Arial"/>
          <w:b/>
        </w:rPr>
      </w:pPr>
    </w:p>
    <w:p w14:paraId="21AB05BE" w14:textId="77777777" w:rsidR="00AA0281" w:rsidRPr="007C3562" w:rsidRDefault="00AA0281" w:rsidP="00AA0281">
      <w:pPr>
        <w:rPr>
          <w:b/>
        </w:rPr>
      </w:pPr>
      <w:r w:rsidRPr="007C3562">
        <w:rPr>
          <w:b/>
        </w:rPr>
        <w:t>Izvještaj o postignutim ciljevima i rezultatima programa temeljenim na pokazateljima uspješnosti:</w:t>
      </w:r>
    </w:p>
    <w:p w14:paraId="39081DB8" w14:textId="77777777" w:rsidR="00AA0281" w:rsidRPr="007C3562" w:rsidRDefault="00AA0281" w:rsidP="00AA0281">
      <w:pPr>
        <w:tabs>
          <w:tab w:val="left" w:pos="0"/>
          <w:tab w:val="center" w:pos="1843"/>
          <w:tab w:val="center" w:pos="6804"/>
          <w:tab w:val="right" w:pos="8647"/>
        </w:tabs>
        <w:jc w:val="both"/>
      </w:pPr>
      <w:r w:rsidRPr="007C3562">
        <w:rPr>
          <w:rFonts w:eastAsia="Calibri"/>
          <w:color w:val="FF0000"/>
        </w:rPr>
        <w:t xml:space="preserve"> </w:t>
      </w:r>
      <w:r w:rsidRPr="007C3562">
        <w:rPr>
          <w:rFonts w:eastAsia="Calibri"/>
        </w:rPr>
        <w:t xml:space="preserve">U sklopu </w:t>
      </w:r>
      <w:r w:rsidRPr="007C3562">
        <w:t>Programa praćenja ekološkog stanja okoliša uslijed rada ŽCGO Kaštijun   provedeno je 9 uzorkovanje podzemne vode na tri piezometra unutar prostora ŽCGO Kaštijun, 9 uzorkovanja tla na tri lokacije oko ŽCGO Kaštijun, 3.104 olfaktometrijska mjerenja (2 puta tjedno-jutarnja i večernja) na 14 mjernih mjesta (388 unutar prostora ŽCGO Kaštijun i 2.716 u naseljima) i 4 mjerenja koncentracije lebdećih čestica PM</w:t>
      </w:r>
      <w:r w:rsidRPr="007C3562">
        <w:rPr>
          <w:vertAlign w:val="subscript"/>
        </w:rPr>
        <w:t>10</w:t>
      </w:r>
      <w:r w:rsidRPr="007C3562">
        <w:t xml:space="preserve"> u vanjskom zraku i koncentracija pojedinih metala-olovo, kadmij, arsen i nikal. </w:t>
      </w:r>
    </w:p>
    <w:bookmarkEnd w:id="11"/>
    <w:p w14:paraId="0768F191" w14:textId="42A233C9" w:rsidR="00AA0281" w:rsidRPr="007C3562" w:rsidRDefault="00AA0281" w:rsidP="00AA0281">
      <w:pPr>
        <w:pStyle w:val="BodyTextIndent"/>
        <w:spacing w:after="0"/>
        <w:ind w:left="0"/>
        <w:rPr>
          <w:rFonts w:ascii="Times New Roman" w:hAnsi="Times New Roman"/>
          <w:color w:val="FF0000"/>
          <w:sz w:val="24"/>
          <w:szCs w:val="24"/>
        </w:rPr>
      </w:pPr>
    </w:p>
    <w:p w14:paraId="6007F35B" w14:textId="77777777" w:rsidR="00AA0281" w:rsidRPr="007C3562" w:rsidRDefault="00AA0281" w:rsidP="00AA0281">
      <w:pPr>
        <w:rPr>
          <w:b/>
          <w:u w:val="single"/>
        </w:rPr>
      </w:pPr>
    </w:p>
    <w:p w14:paraId="2C0FE64B" w14:textId="77777777" w:rsidR="00AA0281" w:rsidRPr="007C3562" w:rsidRDefault="00AA0281" w:rsidP="00AA0281">
      <w:pPr>
        <w:pStyle w:val="ListParagraph"/>
        <w:numPr>
          <w:ilvl w:val="0"/>
          <w:numId w:val="27"/>
        </w:numPr>
        <w:rPr>
          <w:b/>
        </w:rPr>
      </w:pPr>
      <w:r w:rsidRPr="007C3562">
        <w:rPr>
          <w:b/>
        </w:rPr>
        <w:t>PROGRAM: OSNOVNA DJELATNOST NASTAVNOG ZAVODA ZA JAVNO ZDRAVSTVO IŽ</w:t>
      </w:r>
    </w:p>
    <w:p w14:paraId="70B00646" w14:textId="77777777" w:rsidR="00AA0281" w:rsidRPr="007C3562" w:rsidRDefault="00AA0281" w:rsidP="00AA0281">
      <w:pPr>
        <w:rPr>
          <w:b/>
        </w:rPr>
      </w:pPr>
    </w:p>
    <w:p w14:paraId="2BED8C2A" w14:textId="77777777" w:rsidR="00AA0281" w:rsidRPr="007C3562" w:rsidRDefault="00AA0281" w:rsidP="00AA0281">
      <w:pPr>
        <w:pStyle w:val="Default"/>
        <w:numPr>
          <w:ilvl w:val="0"/>
          <w:numId w:val="36"/>
        </w:numPr>
        <w:jc w:val="both"/>
        <w:rPr>
          <w:rFonts w:ascii="Times New Roman" w:hAnsi="Times New Roman" w:cs="Times New Roman"/>
          <w:noProof/>
          <w:color w:val="auto"/>
        </w:rPr>
      </w:pPr>
      <w:r w:rsidRPr="007C3562">
        <w:rPr>
          <w:rFonts w:ascii="Times New Roman" w:hAnsi="Times New Roman" w:cs="Times New Roman"/>
          <w:b/>
        </w:rPr>
        <w:t xml:space="preserve">Obrazloženje: </w:t>
      </w:r>
      <w:r w:rsidRPr="007C3562">
        <w:rPr>
          <w:rFonts w:ascii="Times New Roman" w:hAnsi="Times New Roman" w:cs="Times New Roman"/>
          <w:color w:val="auto"/>
        </w:rPr>
        <w:t xml:space="preserve">Nastavni zavod za javno zdravstvo Istarske županije provodi specijalističko – dijagnostičku zdravstvenu zaštitu i primarnu zdravstvenu zaštitu iz obveznog zdravstvenog osiguranja, temeljem  ugovora s Hrvatskim zavodom za zdravstveno osiguranje kojim je obuhvaćen dio poslova djelatnosti epidemiologije, </w:t>
      </w:r>
      <w:r w:rsidRPr="007C3562">
        <w:rPr>
          <w:rFonts w:ascii="Times New Roman" w:hAnsi="Times New Roman" w:cs="Times New Roman"/>
          <w:color w:val="auto"/>
        </w:rPr>
        <w:lastRenderedPageBreak/>
        <w:t>mikrobiologije, javnog zdravstva, školske medicine, zaštite mentalnog zdravlja i prevencije ovisnosti te djelatnosti zdravstvene ekologije. U okviru svoje djelatnosti, sukladno propisima i ovlaštenjima, pruža i usluge na tržištu pravnim i fizičkim osobama. Kontinuirano radi na unapređenju uvjeta rada, prostora i opreme te kvalitete rada u ustanovi kroz uvedene sustave kvalitete (ISO 9001 i 14001 te od 2018.g. HR EN 16636) i akreditacije prema zahtjevima norme ISO 17025:2007. U svom radu na promicanju zdravlja, prevenciji i ranom otkrivanju te liječenju bolesti poseban naglasak stavlja na županijske javnozdravstvene prioritete.</w:t>
      </w:r>
    </w:p>
    <w:p w14:paraId="5326EDEA" w14:textId="77777777" w:rsidR="00AA0281" w:rsidRDefault="00AA0281" w:rsidP="00AA0281">
      <w:pPr>
        <w:rPr>
          <w:rFonts w:ascii="Arial" w:hAnsi="Arial" w:cs="Arial"/>
          <w:b/>
        </w:rPr>
      </w:pPr>
    </w:p>
    <w:p w14:paraId="334D0F25" w14:textId="640084B2" w:rsidR="00AA0281" w:rsidRPr="007C3562" w:rsidRDefault="00AA0281" w:rsidP="00AA0281">
      <w:pPr>
        <w:pStyle w:val="ListParagraph"/>
        <w:numPr>
          <w:ilvl w:val="0"/>
          <w:numId w:val="29"/>
        </w:numPr>
        <w:rPr>
          <w:b/>
        </w:rPr>
      </w:pPr>
      <w:r w:rsidRPr="007C3562">
        <w:rPr>
          <w:b/>
        </w:rPr>
        <w:t>Cilj uspješnosti</w:t>
      </w:r>
    </w:p>
    <w:p w14:paraId="04D73C2F" w14:textId="77777777" w:rsidR="00AA0281" w:rsidRPr="005A2A47" w:rsidRDefault="00AA0281" w:rsidP="00AA0281">
      <w:pPr>
        <w:rPr>
          <w:rFonts w:cs="Arial"/>
          <w:b/>
        </w:rPr>
      </w:pPr>
    </w:p>
    <w:tbl>
      <w:tblPr>
        <w:tblW w:w="9116" w:type="dxa"/>
        <w:tblInd w:w="93" w:type="dxa"/>
        <w:tblLook w:val="04A0" w:firstRow="1" w:lastRow="0" w:firstColumn="1" w:lastColumn="0" w:noHBand="0" w:noVBand="1"/>
      </w:tblPr>
      <w:tblGrid>
        <w:gridCol w:w="2737"/>
        <w:gridCol w:w="2503"/>
        <w:gridCol w:w="2380"/>
        <w:gridCol w:w="1496"/>
      </w:tblGrid>
      <w:tr w:rsidR="00AA0281" w:rsidRPr="00C2138A" w14:paraId="616D5E5A" w14:textId="77777777" w:rsidTr="00523E00">
        <w:trPr>
          <w:trHeight w:val="300"/>
        </w:trPr>
        <w:tc>
          <w:tcPr>
            <w:tcW w:w="2737"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502C7784"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NAZIV MJERE</w:t>
            </w:r>
          </w:p>
        </w:tc>
        <w:tc>
          <w:tcPr>
            <w:tcW w:w="6379"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4F1F5BE"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PLANIRANA SREDSTVA U PRORAČUNU ISTARSKE ŽUPANIJE</w:t>
            </w:r>
          </w:p>
        </w:tc>
      </w:tr>
      <w:tr w:rsidR="00AA0281" w:rsidRPr="00C2138A" w14:paraId="0E4B7B95" w14:textId="77777777" w:rsidTr="00523E00">
        <w:trPr>
          <w:trHeight w:val="480"/>
        </w:trPr>
        <w:tc>
          <w:tcPr>
            <w:tcW w:w="2737" w:type="dxa"/>
            <w:vMerge/>
            <w:tcBorders>
              <w:top w:val="single" w:sz="4" w:space="0" w:color="auto"/>
              <w:left w:val="single" w:sz="4" w:space="0" w:color="auto"/>
              <w:bottom w:val="single" w:sz="4" w:space="0" w:color="000000"/>
              <w:right w:val="nil"/>
            </w:tcBorders>
            <w:vAlign w:val="center"/>
            <w:hideMark/>
          </w:tcPr>
          <w:p w14:paraId="3BC984DA" w14:textId="77777777" w:rsidR="00AA0281" w:rsidRPr="000E330E" w:rsidRDefault="00AA0281" w:rsidP="007B5AFD">
            <w:pPr>
              <w:rPr>
                <w:rFonts w:ascii="Arial Narrow" w:hAnsi="Arial Narrow" w:cs="Calibri"/>
                <w:b/>
                <w:bCs/>
                <w:color w:val="000000"/>
                <w:sz w:val="18"/>
                <w:szCs w:val="18"/>
                <w:lang w:eastAsia="hr-HR"/>
              </w:rPr>
            </w:pPr>
          </w:p>
        </w:tc>
        <w:tc>
          <w:tcPr>
            <w:tcW w:w="2503" w:type="dxa"/>
            <w:tcBorders>
              <w:top w:val="nil"/>
              <w:left w:val="single" w:sz="4" w:space="0" w:color="auto"/>
              <w:bottom w:val="single" w:sz="4" w:space="0" w:color="auto"/>
              <w:right w:val="single" w:sz="4" w:space="0" w:color="auto"/>
            </w:tcBorders>
            <w:shd w:val="clear" w:color="000000" w:fill="F2F2F2"/>
            <w:noWrap/>
            <w:vAlign w:val="center"/>
            <w:hideMark/>
          </w:tcPr>
          <w:p w14:paraId="3CFA7716"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6FB7634D"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696978C8" w14:textId="15C5ADB0" w:rsidR="00AA0281" w:rsidRPr="000E330E" w:rsidRDefault="00AA0281" w:rsidP="007B5AFD">
            <w:pPr>
              <w:jc w:val="center"/>
              <w:rPr>
                <w:rFonts w:ascii="Arial Narrow" w:hAnsi="Arial Narrow" w:cs="Calibri"/>
                <w:b/>
                <w:bCs/>
                <w:sz w:val="18"/>
                <w:szCs w:val="18"/>
                <w:lang w:eastAsia="hr-HR"/>
              </w:rPr>
            </w:pPr>
            <w:r w:rsidRPr="000E330E">
              <w:rPr>
                <w:rFonts w:ascii="Arial Narrow" w:hAnsi="Arial Narrow" w:cs="Calibri"/>
                <w:b/>
                <w:bCs/>
                <w:sz w:val="18"/>
                <w:szCs w:val="18"/>
                <w:lang w:eastAsia="hr-HR"/>
              </w:rPr>
              <w:t>TROŠAK PROVEDBE MJERE</w:t>
            </w:r>
            <w:r w:rsidR="001B06BF" w:rsidRPr="000E330E">
              <w:rPr>
                <w:rFonts w:ascii="Arial Narrow" w:hAnsi="Arial Narrow" w:cs="Calibri"/>
                <w:b/>
                <w:bCs/>
                <w:sz w:val="18"/>
                <w:szCs w:val="18"/>
                <w:lang w:eastAsia="hr-HR"/>
              </w:rPr>
              <w:t>-OSIGURANA SREDSTVA U PRORAČUNU IŽ</w:t>
            </w:r>
          </w:p>
        </w:tc>
      </w:tr>
      <w:tr w:rsidR="00AA0281" w:rsidRPr="00C2138A" w14:paraId="350F2352" w14:textId="77777777" w:rsidTr="00523E00">
        <w:trPr>
          <w:trHeight w:val="735"/>
        </w:trPr>
        <w:tc>
          <w:tcPr>
            <w:tcW w:w="2737" w:type="dxa"/>
            <w:tcBorders>
              <w:top w:val="nil"/>
              <w:left w:val="single" w:sz="4" w:space="0" w:color="auto"/>
              <w:bottom w:val="single" w:sz="4" w:space="0" w:color="auto"/>
              <w:right w:val="single" w:sz="4" w:space="0" w:color="auto"/>
            </w:tcBorders>
            <w:shd w:val="clear" w:color="auto" w:fill="auto"/>
            <w:vAlign w:val="center"/>
            <w:hideMark/>
          </w:tcPr>
          <w:p w14:paraId="00D0BE54" w14:textId="7003BDAF" w:rsidR="00AA0281" w:rsidRPr="00C27ADB" w:rsidRDefault="00AA0281" w:rsidP="007B5AFD">
            <w:pPr>
              <w:rPr>
                <w:rFonts w:ascii="Arial Narrow" w:hAnsi="Arial Narrow" w:cs="Calibri"/>
                <w:color w:val="000000"/>
                <w:sz w:val="20"/>
                <w:szCs w:val="20"/>
                <w:lang w:eastAsia="hr-HR"/>
              </w:rPr>
            </w:pPr>
            <w:r w:rsidRPr="00C27ADB">
              <w:rPr>
                <w:rFonts w:ascii="Arial Narrow" w:hAnsi="Arial Narrow" w:cs="Calibri"/>
                <w:color w:val="000000"/>
                <w:sz w:val="20"/>
                <w:szCs w:val="20"/>
                <w:lang w:eastAsia="hr-HR"/>
              </w:rPr>
              <w:t>2.2.8. Ostale mjere iz samouprav</w:t>
            </w:r>
            <w:r w:rsidR="000E330E">
              <w:rPr>
                <w:rFonts w:ascii="Arial Narrow" w:hAnsi="Arial Narrow" w:cs="Calibri"/>
                <w:color w:val="000000"/>
                <w:sz w:val="20"/>
                <w:szCs w:val="20"/>
                <w:lang w:eastAsia="hr-HR"/>
              </w:rPr>
              <w:t>n</w:t>
            </w:r>
            <w:r w:rsidRPr="00C27ADB">
              <w:rPr>
                <w:rFonts w:ascii="Arial Narrow" w:hAnsi="Arial Narrow" w:cs="Calibri"/>
                <w:color w:val="000000"/>
                <w:sz w:val="20"/>
                <w:szCs w:val="20"/>
                <w:lang w:eastAsia="hr-HR"/>
              </w:rPr>
              <w:t>og djelokruga u području zdravstva</w:t>
            </w:r>
          </w:p>
        </w:tc>
        <w:tc>
          <w:tcPr>
            <w:tcW w:w="2503" w:type="dxa"/>
            <w:tcBorders>
              <w:top w:val="nil"/>
              <w:left w:val="nil"/>
              <w:bottom w:val="single" w:sz="4" w:space="0" w:color="auto"/>
              <w:right w:val="single" w:sz="4" w:space="0" w:color="auto"/>
            </w:tcBorders>
            <w:shd w:val="clear" w:color="auto" w:fill="auto"/>
            <w:vAlign w:val="bottom"/>
            <w:hideMark/>
          </w:tcPr>
          <w:p w14:paraId="63223CA8" w14:textId="77777777" w:rsidR="00AA0281" w:rsidRPr="00C27ADB" w:rsidRDefault="00AA0281" w:rsidP="007B5AFD">
            <w:pPr>
              <w:rPr>
                <w:rFonts w:ascii="Arial Narrow" w:hAnsi="Arial Narrow" w:cs="Calibri"/>
                <w:sz w:val="20"/>
                <w:szCs w:val="20"/>
                <w:lang w:eastAsia="hr-HR"/>
              </w:rPr>
            </w:pPr>
            <w:r w:rsidRPr="00C27ADB">
              <w:rPr>
                <w:rFonts w:ascii="Arial Narrow" w:hAnsi="Arial Narrow" w:cs="Calibri"/>
                <w:sz w:val="20"/>
                <w:szCs w:val="20"/>
                <w:lang w:eastAsia="hr-HR"/>
              </w:rPr>
              <w:t xml:space="preserve">6501 Osnovna djelatnost Nastavnog zavoda za javno zdravstvo IŽ; </w:t>
            </w:r>
          </w:p>
        </w:tc>
        <w:tc>
          <w:tcPr>
            <w:tcW w:w="2380" w:type="dxa"/>
            <w:tcBorders>
              <w:top w:val="nil"/>
              <w:left w:val="nil"/>
              <w:bottom w:val="single" w:sz="4" w:space="0" w:color="auto"/>
              <w:right w:val="single" w:sz="4" w:space="0" w:color="auto"/>
            </w:tcBorders>
            <w:shd w:val="clear" w:color="auto" w:fill="auto"/>
            <w:vAlign w:val="bottom"/>
            <w:hideMark/>
          </w:tcPr>
          <w:p w14:paraId="337DF650" w14:textId="77777777" w:rsidR="00AA0281" w:rsidRPr="00C27ADB" w:rsidRDefault="00AA0281" w:rsidP="007B5AFD">
            <w:pPr>
              <w:rPr>
                <w:rFonts w:ascii="Arial Narrow" w:hAnsi="Arial Narrow" w:cs="Calibri"/>
                <w:color w:val="000000"/>
                <w:sz w:val="20"/>
                <w:szCs w:val="20"/>
                <w:lang w:eastAsia="hr-HR"/>
              </w:rPr>
            </w:pPr>
            <w:r w:rsidRPr="00C27ADB">
              <w:rPr>
                <w:rFonts w:ascii="Arial Narrow" w:hAnsi="Arial Narrow" w:cs="Calibri"/>
                <w:color w:val="000000"/>
                <w:sz w:val="20"/>
                <w:szCs w:val="20"/>
                <w:lang w:eastAsia="hr-HR"/>
              </w:rPr>
              <w:t xml:space="preserve">A650101 Poslovanje Nastavnog zavoda za javno zdravstvo IŽ; </w:t>
            </w:r>
          </w:p>
        </w:tc>
        <w:tc>
          <w:tcPr>
            <w:tcW w:w="1496" w:type="dxa"/>
            <w:tcBorders>
              <w:top w:val="nil"/>
              <w:left w:val="nil"/>
              <w:bottom w:val="single" w:sz="4" w:space="0" w:color="auto"/>
              <w:right w:val="single" w:sz="4" w:space="0" w:color="auto"/>
            </w:tcBorders>
            <w:shd w:val="clear" w:color="auto" w:fill="auto"/>
            <w:noWrap/>
            <w:vAlign w:val="center"/>
            <w:hideMark/>
          </w:tcPr>
          <w:p w14:paraId="025F34FB" w14:textId="77777777" w:rsidR="00AA0281" w:rsidRPr="00C27ADB" w:rsidRDefault="00AA0281" w:rsidP="007B5AFD">
            <w:pPr>
              <w:jc w:val="center"/>
              <w:rPr>
                <w:rFonts w:ascii="Arial Narrow" w:hAnsi="Arial Narrow" w:cs="Calibri"/>
                <w:color w:val="FF0000"/>
                <w:sz w:val="20"/>
                <w:szCs w:val="20"/>
                <w:lang w:eastAsia="hr-HR"/>
              </w:rPr>
            </w:pPr>
          </w:p>
          <w:p w14:paraId="19803377" w14:textId="77777777" w:rsidR="00AA0281" w:rsidRPr="00C27ADB" w:rsidRDefault="00AA0281" w:rsidP="007B5AFD">
            <w:pPr>
              <w:jc w:val="center"/>
              <w:rPr>
                <w:rFonts w:ascii="Arial Narrow" w:hAnsi="Arial Narrow" w:cs="Calibri"/>
                <w:bCs/>
                <w:sz w:val="20"/>
                <w:szCs w:val="20"/>
              </w:rPr>
            </w:pPr>
            <w:r w:rsidRPr="00C27ADB">
              <w:rPr>
                <w:rFonts w:ascii="Arial Narrow" w:hAnsi="Arial Narrow" w:cs="Calibri"/>
                <w:bCs/>
                <w:sz w:val="20"/>
                <w:szCs w:val="20"/>
              </w:rPr>
              <w:t>7.166.984,94 EUR</w:t>
            </w:r>
          </w:p>
          <w:p w14:paraId="66430B23" w14:textId="77777777" w:rsidR="00AA0281" w:rsidRPr="00C27ADB" w:rsidRDefault="00AA0281" w:rsidP="007B5AFD">
            <w:pPr>
              <w:jc w:val="center"/>
              <w:rPr>
                <w:rFonts w:ascii="Arial Narrow" w:hAnsi="Arial Narrow" w:cs="Calibri"/>
                <w:color w:val="FF0000"/>
                <w:sz w:val="20"/>
                <w:szCs w:val="20"/>
                <w:lang w:eastAsia="hr-HR"/>
              </w:rPr>
            </w:pPr>
          </w:p>
        </w:tc>
      </w:tr>
    </w:tbl>
    <w:p w14:paraId="20CABFF5" w14:textId="77777777" w:rsidR="00AA0281" w:rsidRDefault="00AA0281" w:rsidP="00AA0281"/>
    <w:p w14:paraId="1D32D234" w14:textId="44D7AB31" w:rsidR="00AA0281" w:rsidRPr="007C3562" w:rsidRDefault="00AA0281" w:rsidP="00AA0281">
      <w:pPr>
        <w:pStyle w:val="ListParagraph"/>
        <w:numPr>
          <w:ilvl w:val="0"/>
          <w:numId w:val="28"/>
        </w:numPr>
        <w:rPr>
          <w:b/>
        </w:rPr>
      </w:pPr>
      <w:r w:rsidRPr="007C3562">
        <w:rPr>
          <w:b/>
        </w:rPr>
        <w:t>Pokazatelji uspješnosti</w:t>
      </w:r>
    </w:p>
    <w:p w14:paraId="41B6D135" w14:textId="77777777" w:rsidR="00AA0281" w:rsidRPr="003422BA" w:rsidRDefault="00AA0281" w:rsidP="00AA0281">
      <w:pPr>
        <w:rPr>
          <w:rFonts w:cs="Arial"/>
          <w:b/>
        </w:rPr>
      </w:pPr>
    </w:p>
    <w:tbl>
      <w:tblPr>
        <w:tblW w:w="8920" w:type="dxa"/>
        <w:tblInd w:w="93" w:type="dxa"/>
        <w:tblLook w:val="04A0" w:firstRow="1" w:lastRow="0" w:firstColumn="1" w:lastColumn="0" w:noHBand="0" w:noVBand="1"/>
      </w:tblPr>
      <w:tblGrid>
        <w:gridCol w:w="4864"/>
        <w:gridCol w:w="1134"/>
        <w:gridCol w:w="1079"/>
        <w:gridCol w:w="1843"/>
      </w:tblGrid>
      <w:tr w:rsidR="00AA0281" w:rsidRPr="00C2138A" w14:paraId="5BBF5310" w14:textId="77777777" w:rsidTr="007B5AFD">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1D84C090" w14:textId="77777777" w:rsidR="00AA0281" w:rsidRPr="000E330E" w:rsidRDefault="00AA0281" w:rsidP="007B5AFD">
            <w:pPr>
              <w:rPr>
                <w:rFonts w:ascii="Arial Narrow" w:hAnsi="Arial Narrow" w:cs="Calibri"/>
                <w:b/>
                <w:bCs/>
                <w:color w:val="000000"/>
                <w:sz w:val="18"/>
                <w:szCs w:val="18"/>
                <w:lang w:eastAsia="hr-HR"/>
              </w:rPr>
            </w:pPr>
            <w:bookmarkStart w:id="12" w:name="_Hlk160532651"/>
            <w:bookmarkStart w:id="13" w:name="_Hlk160531896"/>
            <w:r w:rsidRPr="000E330E">
              <w:rPr>
                <w:rFonts w:ascii="Arial Narrow" w:hAnsi="Arial Narrow" w:cs="Calibri"/>
                <w:b/>
                <w:bCs/>
                <w:color w:val="000000"/>
                <w:sz w:val="18"/>
                <w:szCs w:val="18"/>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DC13C8"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Početna vrijednost 2022.</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7DEF8D5C"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color w:val="000000"/>
                <w:sz w:val="18"/>
                <w:szCs w:val="18"/>
                <w:lang w:eastAsia="hr-HR"/>
              </w:rPr>
              <w:t>Ciljna vrijednost 2023.</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6A0EFAFB" w14:textId="77777777" w:rsidR="00AA0281" w:rsidRPr="000E330E" w:rsidRDefault="00AA0281" w:rsidP="007B5AFD">
            <w:pPr>
              <w:jc w:val="center"/>
              <w:rPr>
                <w:rFonts w:ascii="Arial Narrow" w:hAnsi="Arial Narrow" w:cs="Calibri"/>
                <w:b/>
                <w:bCs/>
                <w:color w:val="000000"/>
                <w:sz w:val="18"/>
                <w:szCs w:val="18"/>
                <w:lang w:eastAsia="hr-HR"/>
              </w:rPr>
            </w:pPr>
            <w:r w:rsidRPr="000E330E">
              <w:rPr>
                <w:rFonts w:ascii="Arial Narrow" w:hAnsi="Arial Narrow" w:cs="Calibri"/>
                <w:b/>
                <w:bCs/>
                <w:sz w:val="18"/>
                <w:szCs w:val="18"/>
                <w:lang w:eastAsia="hr-HR"/>
              </w:rPr>
              <w:t>Ostvarena vrijednost u periodu 01-12/2023</w:t>
            </w:r>
          </w:p>
        </w:tc>
      </w:tr>
      <w:bookmarkEnd w:id="12"/>
      <w:bookmarkEnd w:id="13"/>
      <w:tr w:rsidR="00AA0281" w:rsidRPr="004629F0" w14:paraId="54ADFD05" w14:textId="77777777" w:rsidTr="007B5AFD">
        <w:trPr>
          <w:trHeight w:val="445"/>
        </w:trPr>
        <w:tc>
          <w:tcPr>
            <w:tcW w:w="4864" w:type="dxa"/>
            <w:tcBorders>
              <w:top w:val="nil"/>
              <w:left w:val="single" w:sz="4" w:space="0" w:color="auto"/>
              <w:bottom w:val="single" w:sz="4" w:space="0" w:color="auto"/>
              <w:right w:val="single" w:sz="4" w:space="0" w:color="auto"/>
            </w:tcBorders>
            <w:shd w:val="clear" w:color="auto" w:fill="auto"/>
            <w:noWrap/>
            <w:vAlign w:val="center"/>
            <w:hideMark/>
          </w:tcPr>
          <w:p w14:paraId="55E26B85"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
                <w:bCs/>
                <w:sz w:val="20"/>
                <w:szCs w:val="20"/>
                <w:lang w:eastAsia="hr-HR"/>
              </w:rPr>
              <w:t> </w:t>
            </w:r>
            <w:r w:rsidRPr="00C27ADB">
              <w:rPr>
                <w:rFonts w:ascii="Arial Narrow" w:hAnsi="Arial Narrow" w:cs="Calibri"/>
                <w:bCs/>
                <w:sz w:val="20"/>
                <w:szCs w:val="20"/>
                <w:lang w:eastAsia="hr-HR"/>
              </w:rPr>
              <w:t>Broj pregleda osoba pod zdravstvenim nadzorom</w:t>
            </w:r>
          </w:p>
        </w:tc>
        <w:tc>
          <w:tcPr>
            <w:tcW w:w="1134" w:type="dxa"/>
            <w:tcBorders>
              <w:top w:val="nil"/>
              <w:left w:val="nil"/>
              <w:bottom w:val="single" w:sz="4" w:space="0" w:color="auto"/>
              <w:right w:val="single" w:sz="4" w:space="0" w:color="auto"/>
            </w:tcBorders>
            <w:shd w:val="clear" w:color="auto" w:fill="auto"/>
            <w:noWrap/>
            <w:vAlign w:val="center"/>
          </w:tcPr>
          <w:p w14:paraId="6A43BDEE"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25.954</w:t>
            </w:r>
          </w:p>
        </w:tc>
        <w:tc>
          <w:tcPr>
            <w:tcW w:w="1079" w:type="dxa"/>
            <w:tcBorders>
              <w:top w:val="nil"/>
              <w:left w:val="nil"/>
              <w:bottom w:val="single" w:sz="4" w:space="0" w:color="auto"/>
              <w:right w:val="single" w:sz="4" w:space="0" w:color="auto"/>
            </w:tcBorders>
            <w:shd w:val="clear" w:color="auto" w:fill="auto"/>
            <w:noWrap/>
            <w:vAlign w:val="center"/>
          </w:tcPr>
          <w:p w14:paraId="43DA53E3"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26.000</w:t>
            </w:r>
          </w:p>
        </w:tc>
        <w:tc>
          <w:tcPr>
            <w:tcW w:w="1843" w:type="dxa"/>
            <w:tcBorders>
              <w:top w:val="nil"/>
              <w:left w:val="nil"/>
              <w:bottom w:val="single" w:sz="8" w:space="0" w:color="auto"/>
              <w:right w:val="single" w:sz="8" w:space="0" w:color="auto"/>
            </w:tcBorders>
            <w:noWrap/>
            <w:vAlign w:val="center"/>
          </w:tcPr>
          <w:p w14:paraId="29D1120B" w14:textId="77777777" w:rsidR="00AA0281" w:rsidRPr="00C27ADB" w:rsidRDefault="00AA0281" w:rsidP="007B5AFD">
            <w:pPr>
              <w:jc w:val="center"/>
              <w:rPr>
                <w:rFonts w:ascii="Arial Narrow" w:hAnsi="Arial Narrow" w:cs="Arial"/>
                <w:bCs/>
                <w:color w:val="FF0000"/>
                <w:sz w:val="20"/>
                <w:szCs w:val="20"/>
                <w:lang w:eastAsia="hr-HR"/>
              </w:rPr>
            </w:pPr>
            <w:r w:rsidRPr="00C27ADB">
              <w:rPr>
                <w:rFonts w:ascii="Arial Narrow" w:hAnsi="Arial Narrow" w:cs="Arial"/>
                <w:sz w:val="20"/>
                <w:szCs w:val="20"/>
              </w:rPr>
              <w:t>26.966</w:t>
            </w:r>
          </w:p>
        </w:tc>
      </w:tr>
      <w:tr w:rsidR="00AA0281" w:rsidRPr="004629F0" w14:paraId="3AD9871F" w14:textId="77777777" w:rsidTr="007B5AFD">
        <w:trPr>
          <w:trHeight w:val="445"/>
        </w:trPr>
        <w:tc>
          <w:tcPr>
            <w:tcW w:w="4864" w:type="dxa"/>
            <w:tcBorders>
              <w:top w:val="nil"/>
              <w:left w:val="single" w:sz="4" w:space="0" w:color="auto"/>
              <w:bottom w:val="single" w:sz="4" w:space="0" w:color="auto"/>
              <w:right w:val="single" w:sz="4" w:space="0" w:color="auto"/>
            </w:tcBorders>
            <w:shd w:val="clear" w:color="auto" w:fill="auto"/>
            <w:noWrap/>
            <w:vAlign w:val="center"/>
          </w:tcPr>
          <w:p w14:paraId="31D09E88"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Broj osoba koje su prisustvovale zdravstvenom odgoju (higijenski minimum)</w:t>
            </w:r>
          </w:p>
        </w:tc>
        <w:tc>
          <w:tcPr>
            <w:tcW w:w="1134" w:type="dxa"/>
            <w:tcBorders>
              <w:top w:val="nil"/>
              <w:left w:val="nil"/>
              <w:bottom w:val="single" w:sz="4" w:space="0" w:color="auto"/>
              <w:right w:val="single" w:sz="4" w:space="0" w:color="auto"/>
            </w:tcBorders>
            <w:shd w:val="clear" w:color="auto" w:fill="auto"/>
            <w:noWrap/>
            <w:vAlign w:val="center"/>
          </w:tcPr>
          <w:p w14:paraId="2B5E8898"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3.525</w:t>
            </w:r>
          </w:p>
        </w:tc>
        <w:tc>
          <w:tcPr>
            <w:tcW w:w="1079" w:type="dxa"/>
            <w:tcBorders>
              <w:top w:val="nil"/>
              <w:left w:val="nil"/>
              <w:bottom w:val="single" w:sz="4" w:space="0" w:color="auto"/>
              <w:right w:val="single" w:sz="4" w:space="0" w:color="auto"/>
            </w:tcBorders>
            <w:shd w:val="clear" w:color="auto" w:fill="auto"/>
            <w:noWrap/>
            <w:vAlign w:val="center"/>
          </w:tcPr>
          <w:p w14:paraId="64AB0A1B"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3.500</w:t>
            </w:r>
          </w:p>
        </w:tc>
        <w:tc>
          <w:tcPr>
            <w:tcW w:w="1843" w:type="dxa"/>
            <w:tcBorders>
              <w:top w:val="nil"/>
              <w:left w:val="nil"/>
              <w:bottom w:val="single" w:sz="8" w:space="0" w:color="auto"/>
              <w:right w:val="single" w:sz="8" w:space="0" w:color="auto"/>
            </w:tcBorders>
            <w:noWrap/>
            <w:vAlign w:val="center"/>
          </w:tcPr>
          <w:p w14:paraId="10AF9450" w14:textId="77777777" w:rsidR="00AA0281" w:rsidRPr="00C27ADB" w:rsidRDefault="00AA0281" w:rsidP="007B5AFD">
            <w:pPr>
              <w:jc w:val="center"/>
              <w:rPr>
                <w:rFonts w:ascii="Arial Narrow" w:hAnsi="Arial Narrow" w:cs="Arial"/>
                <w:bCs/>
                <w:color w:val="FF0000"/>
                <w:sz w:val="20"/>
                <w:szCs w:val="20"/>
                <w:lang w:eastAsia="hr-HR"/>
              </w:rPr>
            </w:pPr>
            <w:r w:rsidRPr="00C27ADB">
              <w:rPr>
                <w:rFonts w:ascii="Arial Narrow" w:hAnsi="Arial Narrow" w:cs="Arial"/>
                <w:sz w:val="20"/>
                <w:szCs w:val="20"/>
              </w:rPr>
              <w:t>5.875</w:t>
            </w:r>
          </w:p>
        </w:tc>
      </w:tr>
      <w:tr w:rsidR="00AA0281" w:rsidRPr="00576FC2" w14:paraId="6D1F018F" w14:textId="77777777" w:rsidTr="007B5AFD">
        <w:trPr>
          <w:trHeight w:val="445"/>
        </w:trPr>
        <w:tc>
          <w:tcPr>
            <w:tcW w:w="4864" w:type="dxa"/>
            <w:tcBorders>
              <w:top w:val="nil"/>
              <w:left w:val="single" w:sz="4" w:space="0" w:color="auto"/>
              <w:bottom w:val="single" w:sz="4" w:space="0" w:color="auto"/>
              <w:right w:val="single" w:sz="4" w:space="0" w:color="auto"/>
            </w:tcBorders>
            <w:shd w:val="clear" w:color="auto" w:fill="auto"/>
            <w:noWrap/>
            <w:vAlign w:val="center"/>
          </w:tcPr>
          <w:p w14:paraId="462183BB" w14:textId="77777777" w:rsidR="00AA0281" w:rsidRPr="00C27ADB" w:rsidRDefault="00AA0281" w:rsidP="007B5AFD">
            <w:pPr>
              <w:jc w:val="center"/>
              <w:rPr>
                <w:rFonts w:ascii="Arial Narrow" w:hAnsi="Arial Narrow" w:cs="Calibri"/>
                <w:bCs/>
                <w:sz w:val="20"/>
                <w:szCs w:val="20"/>
                <w:lang w:eastAsia="hr-HR"/>
              </w:rPr>
            </w:pPr>
            <w:bookmarkStart w:id="14" w:name="_Hlk160531931"/>
            <w:r w:rsidRPr="00C27ADB">
              <w:rPr>
                <w:rFonts w:ascii="Arial Narrow" w:hAnsi="Arial Narrow" w:cs="Calibri"/>
                <w:bCs/>
                <w:sz w:val="20"/>
                <w:szCs w:val="20"/>
                <w:lang w:eastAsia="hr-HR"/>
              </w:rPr>
              <w:t>Broj JLS u kojima je proveden stručni nadzor nad radom drugih provoditelja DDD-a / broj stručnih nadzora</w:t>
            </w:r>
          </w:p>
        </w:tc>
        <w:tc>
          <w:tcPr>
            <w:tcW w:w="1134" w:type="dxa"/>
            <w:tcBorders>
              <w:top w:val="nil"/>
              <w:left w:val="nil"/>
              <w:bottom w:val="single" w:sz="4" w:space="0" w:color="auto"/>
              <w:right w:val="single" w:sz="4" w:space="0" w:color="auto"/>
            </w:tcBorders>
            <w:shd w:val="clear" w:color="auto" w:fill="auto"/>
            <w:noWrap/>
            <w:vAlign w:val="center"/>
          </w:tcPr>
          <w:p w14:paraId="0EC7841D"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6 /25</w:t>
            </w:r>
          </w:p>
        </w:tc>
        <w:tc>
          <w:tcPr>
            <w:tcW w:w="1079" w:type="dxa"/>
            <w:tcBorders>
              <w:top w:val="nil"/>
              <w:left w:val="nil"/>
              <w:bottom w:val="single" w:sz="4" w:space="0" w:color="auto"/>
              <w:right w:val="single" w:sz="4" w:space="0" w:color="auto"/>
            </w:tcBorders>
            <w:shd w:val="clear" w:color="auto" w:fill="auto"/>
            <w:noWrap/>
            <w:vAlign w:val="center"/>
          </w:tcPr>
          <w:p w14:paraId="17240496"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7/30</w:t>
            </w:r>
          </w:p>
        </w:tc>
        <w:tc>
          <w:tcPr>
            <w:tcW w:w="1843" w:type="dxa"/>
            <w:tcBorders>
              <w:top w:val="nil"/>
              <w:left w:val="nil"/>
              <w:bottom w:val="single" w:sz="4" w:space="0" w:color="auto"/>
              <w:right w:val="single" w:sz="4" w:space="0" w:color="auto"/>
            </w:tcBorders>
            <w:shd w:val="clear" w:color="auto" w:fill="auto"/>
            <w:noWrap/>
            <w:vAlign w:val="center"/>
          </w:tcPr>
          <w:p w14:paraId="5BD09CDF"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5/30</w:t>
            </w:r>
          </w:p>
        </w:tc>
      </w:tr>
      <w:tr w:rsidR="00AA0281" w:rsidRPr="00C2138A" w14:paraId="3E6D9F2A"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BB007" w14:textId="77777777" w:rsidR="00AA0281" w:rsidRPr="00C27ADB" w:rsidRDefault="00AA0281" w:rsidP="007B5AFD">
            <w:pPr>
              <w:jc w:val="center"/>
              <w:rPr>
                <w:rFonts w:ascii="Arial Narrow" w:hAnsi="Arial Narrow" w:cs="Calibri"/>
                <w:bCs/>
                <w:sz w:val="20"/>
                <w:szCs w:val="20"/>
                <w:lang w:eastAsia="hr-HR"/>
              </w:rPr>
            </w:pPr>
            <w:bookmarkStart w:id="15" w:name="_Hlk160532858"/>
            <w:bookmarkEnd w:id="14"/>
            <w:r w:rsidRPr="00C27ADB">
              <w:rPr>
                <w:rFonts w:ascii="Arial Narrow" w:hAnsi="Arial Narrow" w:cs="Calibri"/>
                <w:bCs/>
                <w:sz w:val="20"/>
                <w:szCs w:val="20"/>
                <w:lang w:eastAsia="hr-HR"/>
              </w:rPr>
              <w:t>Broj sistematskih pregleda školske djece i studenata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ECD7BB"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5.114</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3F1CFCF2"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6.000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620ABDA"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6.017</w:t>
            </w:r>
          </w:p>
        </w:tc>
      </w:tr>
      <w:tr w:rsidR="00AA0281" w:rsidRPr="004629F0" w14:paraId="127A7092"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FE75A"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Broj cijepljenja školske djece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DB1A0C"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4.277</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7F831A98"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6.400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A02A0F"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6.392</w:t>
            </w:r>
          </w:p>
        </w:tc>
      </w:tr>
      <w:tr w:rsidR="00AA0281" w:rsidRPr="009F3B89" w14:paraId="69B173D4"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D52D3" w14:textId="77777777" w:rsidR="00AA0281" w:rsidRPr="00C27ADB" w:rsidRDefault="00AA0281" w:rsidP="007B5AFD">
            <w:pPr>
              <w:jc w:val="center"/>
              <w:rPr>
                <w:rFonts w:ascii="Arial Narrow" w:hAnsi="Arial Narrow" w:cs="Calibri"/>
                <w:bCs/>
                <w:sz w:val="20"/>
                <w:szCs w:val="20"/>
                <w:lang w:eastAsia="hr-HR"/>
              </w:rPr>
            </w:pPr>
            <w:bookmarkStart w:id="16" w:name="_Hlk160532001"/>
            <w:bookmarkEnd w:id="15"/>
            <w:r w:rsidRPr="00C27ADB">
              <w:rPr>
                <w:rFonts w:ascii="Arial Narrow" w:hAnsi="Arial Narrow" w:cs="Calibri"/>
                <w:bCs/>
                <w:sz w:val="20"/>
                <w:szCs w:val="20"/>
                <w:lang w:eastAsia="hr-HR"/>
              </w:rPr>
              <w:t>Broj ispitanih uzoraka hrane iz proizvodnje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9F54ED"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3.200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2889CDB5"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3.200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9A568C7"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3.731</w:t>
            </w:r>
          </w:p>
        </w:tc>
      </w:tr>
      <w:tr w:rsidR="00AA0281" w:rsidRPr="009F3B89" w14:paraId="777064DA"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58E8A"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Broj ispitanih briseva mikrobiološke čistoće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2A2E01"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22.000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4C33CF74"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22.000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AAA6EFA"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25.119</w:t>
            </w:r>
          </w:p>
        </w:tc>
      </w:tr>
      <w:tr w:rsidR="00AA0281" w:rsidRPr="009F3B89" w14:paraId="5D98CDB2"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9FF19"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Broj ispitanih uzoraka vode za ljudsku potrošnju (temeljem ugovora s korisnicima)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1C3E52"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3.000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198F9A45"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3.200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1E11AC"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2.996</w:t>
            </w:r>
          </w:p>
        </w:tc>
      </w:tr>
      <w:tr w:rsidR="00AA0281" w:rsidRPr="009F3B89" w14:paraId="46044D60"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81A2D"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Broj ispitanih uzoraka bazenskih voda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B11B7F"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4.000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3A78A73C"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4.200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1B4894E"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5.076</w:t>
            </w:r>
          </w:p>
        </w:tc>
      </w:tr>
      <w:tr w:rsidR="00AA0281" w:rsidRPr="009F3B89" w14:paraId="4D7E07E9"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94620"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Broj ispitanih uzoraka otpadnih voda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A402D5"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700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210D6A9D"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700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ABFDC95"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630</w:t>
            </w:r>
          </w:p>
        </w:tc>
      </w:tr>
      <w:tr w:rsidR="00AA0281" w:rsidRPr="009F3B89" w14:paraId="718C2C3D"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24FEE" w14:textId="77777777" w:rsidR="00AA0281" w:rsidRPr="00C27ADB" w:rsidRDefault="00AA0281" w:rsidP="007B5AFD">
            <w:pPr>
              <w:jc w:val="center"/>
              <w:rPr>
                <w:rFonts w:ascii="Arial Narrow" w:hAnsi="Arial Narrow" w:cs="Calibri"/>
                <w:bCs/>
                <w:sz w:val="20"/>
                <w:szCs w:val="20"/>
                <w:lang w:eastAsia="hr-HR"/>
              </w:rPr>
            </w:pPr>
            <w:bookmarkStart w:id="17" w:name="_Hlk160532757"/>
            <w:bookmarkEnd w:id="16"/>
            <w:r w:rsidRPr="00C27ADB">
              <w:rPr>
                <w:rFonts w:ascii="Arial Narrow" w:hAnsi="Arial Narrow" w:cs="Calibri"/>
                <w:bCs/>
                <w:sz w:val="20"/>
                <w:szCs w:val="20"/>
                <w:lang w:eastAsia="hr-HR"/>
              </w:rPr>
              <w:t>Broj mikrobioloških pretraga humanih uzoraka (od toga SARS-CoV-2)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C158F2"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213.361 (90.945</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4A7DFC94"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200.000 (45.000)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E4F8A3D"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 xml:space="preserve">195.000 </w:t>
            </w:r>
          </w:p>
          <w:p w14:paraId="2C772326"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(20.000)</w:t>
            </w:r>
          </w:p>
        </w:tc>
      </w:tr>
      <w:tr w:rsidR="00AA0281" w:rsidRPr="004629F0" w14:paraId="2228FF03" w14:textId="77777777" w:rsidTr="007B5AFD">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A0C49" w14:textId="77777777" w:rsidR="00AA0281" w:rsidRPr="00C27ADB" w:rsidRDefault="00AA0281" w:rsidP="007B5AFD">
            <w:pPr>
              <w:jc w:val="center"/>
              <w:rPr>
                <w:rFonts w:ascii="Arial Narrow" w:hAnsi="Arial Narrow" w:cs="Calibri"/>
                <w:bCs/>
                <w:sz w:val="20"/>
                <w:szCs w:val="20"/>
                <w:lang w:eastAsia="hr-HR"/>
              </w:rPr>
            </w:pPr>
            <w:bookmarkStart w:id="18" w:name="_Hlk160532034"/>
            <w:bookmarkEnd w:id="17"/>
            <w:r w:rsidRPr="00C27ADB">
              <w:rPr>
                <w:rFonts w:ascii="Arial Narrow" w:hAnsi="Arial Narrow" w:cs="Calibri"/>
                <w:bCs/>
                <w:sz w:val="20"/>
                <w:szCs w:val="20"/>
                <w:lang w:eastAsia="hr-HR"/>
              </w:rPr>
              <w:t>Broj promotivnih aktivnosti / događanja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060431"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14</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71DBA410"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14</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231F8F8" w14:textId="77777777" w:rsidR="00AA0281" w:rsidRPr="00C27ADB" w:rsidRDefault="00AA0281" w:rsidP="007B5AFD">
            <w:pPr>
              <w:jc w:val="center"/>
              <w:rPr>
                <w:rFonts w:ascii="Arial Narrow" w:hAnsi="Arial Narrow" w:cs="Calibri"/>
                <w:bCs/>
                <w:sz w:val="20"/>
                <w:szCs w:val="20"/>
                <w:lang w:eastAsia="hr-HR"/>
              </w:rPr>
            </w:pPr>
            <w:r w:rsidRPr="00C27ADB">
              <w:rPr>
                <w:rFonts w:ascii="Arial Narrow" w:hAnsi="Arial Narrow" w:cs="Calibri"/>
                <w:bCs/>
                <w:sz w:val="20"/>
                <w:szCs w:val="20"/>
                <w:lang w:eastAsia="hr-HR"/>
              </w:rPr>
              <w:t>14</w:t>
            </w:r>
          </w:p>
        </w:tc>
      </w:tr>
      <w:bookmarkEnd w:id="18"/>
    </w:tbl>
    <w:p w14:paraId="3DE044BB" w14:textId="77777777" w:rsidR="00AA0281" w:rsidRDefault="00AA0281" w:rsidP="00AA0281">
      <w:pPr>
        <w:rPr>
          <w:rFonts w:ascii="Arial" w:hAnsi="Arial"/>
          <w:b/>
        </w:rPr>
      </w:pPr>
    </w:p>
    <w:p w14:paraId="5FB99100" w14:textId="77777777" w:rsidR="00AA0281" w:rsidRPr="007C3562" w:rsidRDefault="00AA0281" w:rsidP="00AA0281">
      <w:pPr>
        <w:rPr>
          <w:b/>
        </w:rPr>
      </w:pPr>
      <w:r w:rsidRPr="007C3562">
        <w:rPr>
          <w:b/>
        </w:rPr>
        <w:lastRenderedPageBreak/>
        <w:t>Izvještaj o postignutim ciljevima i rezultatima programa temeljenim na pokazateljima uspješnosti:</w:t>
      </w:r>
    </w:p>
    <w:p w14:paraId="6CFC8962" w14:textId="77777777" w:rsidR="00AA0281" w:rsidRPr="007C3562" w:rsidRDefault="00AA0281" w:rsidP="00AA0281">
      <w:pPr>
        <w:jc w:val="both"/>
      </w:pPr>
      <w:r w:rsidRPr="007C3562">
        <w:t xml:space="preserve">Kontinuirano su pružane usluge osiguranicima te usluge na tržištu pravnim i fizičkim osobama. </w:t>
      </w:r>
    </w:p>
    <w:p w14:paraId="2F2F7362" w14:textId="77777777" w:rsidR="00AA0281" w:rsidRPr="007C3562" w:rsidRDefault="00AA0281" w:rsidP="00AA0281">
      <w:pPr>
        <w:jc w:val="both"/>
      </w:pPr>
      <w:r w:rsidRPr="007C3562">
        <w:t xml:space="preserve">Napravljeno je 26.966 pregleda osoba pod zdravstvenim nadzorom, 5.875 osoba je prisustvovalo zdravstvenom odgoju (higijenski minimum), u 5 JLS je </w:t>
      </w:r>
      <w:r w:rsidRPr="007C3562">
        <w:rPr>
          <w:bCs/>
          <w:lang w:eastAsia="hr-HR"/>
        </w:rPr>
        <w:t>proveden stručni nadzor nad radom drugih provoditelja DDD-a / obavljeno je 30 stručnih nadzora, 6</w:t>
      </w:r>
      <w:r w:rsidRPr="007C3562">
        <w:t xml:space="preserve">.017 sistematskih pregleda školske djece i studenata, cijepljeno je 6.392 školske djece, provedeno je 3.731 </w:t>
      </w:r>
      <w:r w:rsidRPr="007C3562">
        <w:rPr>
          <w:lang w:eastAsia="hr-HR"/>
        </w:rPr>
        <w:t>analiza hrane iz proizvodnje na mikrobiološku i 1.751 na kemijsku ispravnost, 180 predmeta opće uporabe iz proizvodnje na mikrobiološku i 24 na kemijsku ispravnost, 22.119 briseva mikrobiološke čistoće</w:t>
      </w:r>
      <w:r w:rsidRPr="007C3562">
        <w:t xml:space="preserve"> , </w:t>
      </w:r>
      <w:r w:rsidRPr="007C3562">
        <w:rPr>
          <w:lang w:eastAsia="hr-HR"/>
        </w:rPr>
        <w:t>ispitano je 2.996</w:t>
      </w:r>
      <w:r w:rsidRPr="007C3562">
        <w:rPr>
          <w:bCs/>
          <w:lang w:eastAsia="hr-HR"/>
        </w:rPr>
        <w:t xml:space="preserve"> uzoraka vode za ljudsku potrošnju (temeljem ugovora s korisnicima), 5.076 uzoraka bazenskih voda, 630 uzoraka otpadnih voda,</w:t>
      </w:r>
      <w:r w:rsidRPr="007C3562">
        <w:rPr>
          <w:lang w:eastAsia="hr-HR"/>
        </w:rPr>
        <w:t xml:space="preserve"> 1</w:t>
      </w:r>
      <w:r w:rsidRPr="007C3562">
        <w:t xml:space="preserve">95.000 pretraga uzoraka humane mikrobiologije (od toga 20.000 SARS-CoV-2), organizirano je ili aktivno sudjelovalo na 14 promotivnih aktivnosti i događanja (10 obilježavanja značajnih datuma, organizacija 7. javnozdravstvene manifestacije Hoditi i zdravi biti u svih 10 gradova, 6. konferencije Zajedno s Vama do zdravlja, 11. Stručnog skupa predškolskih ustanova i susreta Zdrave školske marende).  </w:t>
      </w:r>
    </w:p>
    <w:p w14:paraId="4A6A36F7" w14:textId="77777777" w:rsidR="00AA0281" w:rsidRPr="007C3562" w:rsidRDefault="00AA0281" w:rsidP="00AA0281">
      <w:pPr>
        <w:jc w:val="both"/>
      </w:pPr>
      <w:bookmarkStart w:id="19" w:name="_Hlk160780819"/>
      <w:r w:rsidRPr="007C3562">
        <w:t>U 2023.g. akreditirano je sedam novih metoda u svrhu proširenja matriksa za otpadne vode i eluate otpada, sediment, tlo i mulj te otpadni plin (ukupno 113 akreditiranih metoda), započelo se s probirom porodične hiperkolesterolemije kod djece prije upisa u osnovnu školu, otvoreno je Savjetovalište za prehranu u Novigradu, nastavljen je projekt uvođenja sterilnih mužjaka</w:t>
      </w:r>
      <w:r w:rsidRPr="004B46B9">
        <w:rPr>
          <w:rFonts w:ascii="Arial" w:hAnsi="Arial" w:cs="Arial"/>
        </w:rPr>
        <w:t xml:space="preserve"> </w:t>
      </w:r>
      <w:r w:rsidRPr="007C3562">
        <w:t>tigrastog komarca, tehnikom sterilnih kukaca – SIT  s ciljem smanjenja njihove populacije.</w:t>
      </w:r>
    </w:p>
    <w:p w14:paraId="67CB7CB1" w14:textId="77777777" w:rsidR="00AA0281" w:rsidRPr="007C3562" w:rsidRDefault="00AA0281" w:rsidP="00AA0281">
      <w:pPr>
        <w:jc w:val="both"/>
      </w:pPr>
      <w:bookmarkStart w:id="20" w:name="_Hlk160780638"/>
      <w:bookmarkEnd w:id="19"/>
      <w:r w:rsidRPr="007C3562">
        <w:t xml:space="preserve">Radilo se na unapređenju uvjeta rada, prostora i opreme: rekonstruirane su prijemne ambulante Službe za mikrobiologiju i Službe za epidemiologiju u prizemlju te dio ogradnog zida, opremani su novi prostori u Puli i u Pazinu, nabavljena informatička oprema (serveri, računala, printer) i novi računalni programi (Služba za epidemiologiju i Služba za zdravstvenu ekologiju), nabavljena je oprema (Služba za epidemiologiju odjel za DDD, Služba za zdravstvenu ekologiju, Služba za mikrobiologiju). </w:t>
      </w:r>
      <w:bookmarkEnd w:id="20"/>
      <w:r w:rsidRPr="007C3562">
        <w:t>U lipnju 2023. godine dovršena je projektna dokumentacija za hortikulturalno uređenje prednjeg dvorišta ustanove. Projekt je izrađen u suradnji sa Konzervatorskim odjelom u Puli kako bi se očuvale izvorne povijesne odrednice. Projekt izgradnje plinske stanice dovršen je u kolovozu 2023. ishodovanjem uporabne dozvole.</w:t>
      </w:r>
    </w:p>
    <w:p w14:paraId="047B7FC6" w14:textId="77777777" w:rsidR="00AA0281" w:rsidRPr="007C3562" w:rsidRDefault="00AA0281" w:rsidP="00AA0281">
      <w:pPr>
        <w:jc w:val="both"/>
      </w:pPr>
      <w:r w:rsidRPr="007C3562">
        <w:t>Nastavljen je kontinuirani rad na unapređenju kvalitete, zaštite okoliša, zaštite zdravlja i sigurnosti na radu  kroz uvedene sustave kvalitete (ISO 9001, 14001, 45001, HR EN 16636) i akreditacije prema zahtjevima norme ISO/IEC 17025:2017. Provedeni su sistematski pregledi za sve zainteresirane radnike, u suradnji s OB Pula. Uspješno su odrađena 22 sudjelovanja u međulaboratorijskim usporedbama ispitnih metoda.</w:t>
      </w:r>
    </w:p>
    <w:p w14:paraId="3E8988D0" w14:textId="77777777" w:rsidR="00D05A2A" w:rsidRDefault="00D05A2A" w:rsidP="00D05A2A">
      <w:pPr>
        <w:tabs>
          <w:tab w:val="left" w:pos="1140"/>
        </w:tabs>
        <w:rPr>
          <w:color w:val="FF0000"/>
        </w:rPr>
      </w:pPr>
    </w:p>
    <w:p w14:paraId="60549B5B" w14:textId="77777777" w:rsidR="00F74977" w:rsidRDefault="00F74977" w:rsidP="00D05A2A">
      <w:pPr>
        <w:tabs>
          <w:tab w:val="left" w:pos="1140"/>
        </w:tabs>
        <w:rPr>
          <w:color w:val="FF0000"/>
        </w:rPr>
      </w:pPr>
    </w:p>
    <w:p w14:paraId="6E8D1DB9" w14:textId="77777777" w:rsidR="00F037BE" w:rsidRDefault="00F037BE" w:rsidP="00D05A2A">
      <w:pPr>
        <w:tabs>
          <w:tab w:val="left" w:pos="1140"/>
        </w:tabs>
        <w:rPr>
          <w:b/>
          <w:bCs/>
        </w:rPr>
      </w:pPr>
    </w:p>
    <w:p w14:paraId="2E285F1F" w14:textId="77777777" w:rsidR="00062C3C" w:rsidRDefault="00062C3C">
      <w:pPr>
        <w:spacing w:after="160" w:line="259" w:lineRule="auto"/>
        <w:rPr>
          <w:b/>
          <w:bCs/>
        </w:rPr>
      </w:pPr>
      <w:r>
        <w:rPr>
          <w:b/>
          <w:bCs/>
        </w:rPr>
        <w:br w:type="page"/>
      </w:r>
    </w:p>
    <w:p w14:paraId="0B4214AB" w14:textId="322AC731" w:rsidR="007341CC" w:rsidRDefault="00D05A2A" w:rsidP="00D05A2A">
      <w:pPr>
        <w:tabs>
          <w:tab w:val="left" w:pos="1140"/>
        </w:tabs>
        <w:rPr>
          <w:b/>
          <w:bCs/>
        </w:rPr>
      </w:pPr>
      <w:bookmarkStart w:id="21" w:name="_GoBack"/>
      <w:bookmarkEnd w:id="21"/>
      <w:r w:rsidRPr="00D05A2A">
        <w:rPr>
          <w:b/>
          <w:bCs/>
        </w:rPr>
        <w:lastRenderedPageBreak/>
        <w:t>IV POSEBNI IZVJEŠTAJI</w:t>
      </w:r>
    </w:p>
    <w:p w14:paraId="0CA4B074" w14:textId="1E92A26B" w:rsidR="00125BB6" w:rsidRDefault="00D05A2A" w:rsidP="00D05A2A">
      <w:pPr>
        <w:tabs>
          <w:tab w:val="left" w:pos="1140"/>
        </w:tabs>
        <w:ind w:left="360"/>
        <w:jc w:val="center"/>
      </w:pPr>
      <w:r>
        <w:t xml:space="preserve">Članak </w:t>
      </w:r>
      <w:r w:rsidR="00587CC4">
        <w:t>9.</w:t>
      </w:r>
    </w:p>
    <w:p w14:paraId="6EC709A3" w14:textId="77777777" w:rsidR="00D05A2A" w:rsidRPr="00947355" w:rsidRDefault="00D05A2A" w:rsidP="00D37CD8">
      <w:pPr>
        <w:tabs>
          <w:tab w:val="left" w:pos="1140"/>
        </w:tabs>
        <w:ind w:left="360"/>
      </w:pPr>
    </w:p>
    <w:p w14:paraId="6C3BCCB7" w14:textId="447A7975" w:rsidR="00125BB6" w:rsidRPr="004558A1" w:rsidRDefault="004558A1" w:rsidP="004558A1">
      <w:pPr>
        <w:tabs>
          <w:tab w:val="left" w:pos="1140"/>
        </w:tabs>
        <w:jc w:val="center"/>
        <w:rPr>
          <w:sz w:val="22"/>
          <w:szCs w:val="22"/>
        </w:rPr>
      </w:pPr>
      <w:r w:rsidRPr="004558A1">
        <w:rPr>
          <w:sz w:val="22"/>
          <w:szCs w:val="22"/>
        </w:rPr>
        <w:t>IZVJEŠTAJ O STANJU POTRAŽIVANJA NA DAN 31.12.2023. GODINE</w:t>
      </w:r>
    </w:p>
    <w:p w14:paraId="42D037A6" w14:textId="3DF4473F" w:rsidR="00506953" w:rsidRPr="00506953" w:rsidRDefault="00506953" w:rsidP="00C03FA9">
      <w:pPr>
        <w:spacing w:after="160" w:line="259" w:lineRule="auto"/>
        <w:rPr>
          <w:sz w:val="18"/>
          <w:szCs w:val="18"/>
          <w:lang w:eastAsia="hr-HR"/>
        </w:rPr>
      </w:pPr>
      <w:r w:rsidRPr="00506953">
        <w:rPr>
          <w:sz w:val="18"/>
          <w:szCs w:val="18"/>
          <w:lang w:eastAsia="hr-HR"/>
        </w:rPr>
        <w:t xml:space="preserve">                   </w:t>
      </w:r>
      <w:r w:rsidRPr="00506953">
        <w:rPr>
          <w:b/>
          <w:sz w:val="18"/>
          <w:szCs w:val="18"/>
          <w:lang w:eastAsia="hr-HR"/>
        </w:rPr>
        <w:t xml:space="preserve">                            </w:t>
      </w:r>
      <w:r w:rsidRPr="00506953">
        <w:rPr>
          <w:b/>
          <w:sz w:val="18"/>
          <w:szCs w:val="18"/>
          <w:lang w:eastAsia="hr-HR"/>
        </w:rPr>
        <w:tab/>
      </w:r>
    </w:p>
    <w:tbl>
      <w:tblPr>
        <w:tblStyle w:val="TableGrid1"/>
        <w:tblW w:w="9351" w:type="dxa"/>
        <w:tblLook w:val="04A0" w:firstRow="1" w:lastRow="0" w:firstColumn="1" w:lastColumn="0" w:noHBand="0" w:noVBand="1"/>
      </w:tblPr>
      <w:tblGrid>
        <w:gridCol w:w="789"/>
        <w:gridCol w:w="818"/>
        <w:gridCol w:w="4767"/>
        <w:gridCol w:w="1701"/>
        <w:gridCol w:w="1314"/>
      </w:tblGrid>
      <w:tr w:rsidR="00A12819" w:rsidRPr="00AF35D1" w14:paraId="5C004AD8" w14:textId="77777777" w:rsidTr="00A12819">
        <w:trPr>
          <w:trHeight w:val="300"/>
        </w:trPr>
        <w:tc>
          <w:tcPr>
            <w:tcW w:w="789" w:type="dxa"/>
            <w:noWrap/>
            <w:hideMark/>
          </w:tcPr>
          <w:p w14:paraId="736D9B22" w14:textId="77777777" w:rsidR="00A12819" w:rsidRPr="00AF35D1" w:rsidRDefault="00A12819" w:rsidP="00942AE4">
            <w:pPr>
              <w:rPr>
                <w:rFonts w:ascii="Calibri" w:hAnsi="Calibri"/>
                <w:b/>
                <w:bCs/>
              </w:rPr>
            </w:pPr>
            <w:r w:rsidRPr="00AF35D1">
              <w:rPr>
                <w:rFonts w:ascii="Calibri" w:hAnsi="Calibri"/>
                <w:b/>
                <w:bCs/>
              </w:rPr>
              <w:t xml:space="preserve">Redni </w:t>
            </w:r>
          </w:p>
        </w:tc>
        <w:tc>
          <w:tcPr>
            <w:tcW w:w="818" w:type="dxa"/>
            <w:vMerge w:val="restart"/>
            <w:noWrap/>
            <w:hideMark/>
          </w:tcPr>
          <w:p w14:paraId="4EE554AC" w14:textId="77777777" w:rsidR="00A12819" w:rsidRPr="00AF35D1" w:rsidRDefault="00A12819" w:rsidP="00942AE4">
            <w:pPr>
              <w:rPr>
                <w:rFonts w:ascii="Calibri" w:hAnsi="Calibri"/>
                <w:b/>
                <w:bCs/>
              </w:rPr>
            </w:pPr>
            <w:r w:rsidRPr="00AF35D1">
              <w:rPr>
                <w:rFonts w:ascii="Calibri" w:hAnsi="Calibri"/>
                <w:b/>
                <w:bCs/>
              </w:rPr>
              <w:t>Konto</w:t>
            </w:r>
          </w:p>
        </w:tc>
        <w:tc>
          <w:tcPr>
            <w:tcW w:w="4767" w:type="dxa"/>
            <w:vMerge w:val="restart"/>
            <w:noWrap/>
            <w:hideMark/>
          </w:tcPr>
          <w:p w14:paraId="4EEE24EC" w14:textId="77777777" w:rsidR="00A12819" w:rsidRPr="00AF35D1" w:rsidRDefault="00A12819" w:rsidP="00942AE4">
            <w:pPr>
              <w:rPr>
                <w:rFonts w:ascii="Calibri" w:hAnsi="Calibri"/>
                <w:b/>
                <w:bCs/>
              </w:rPr>
            </w:pPr>
            <w:r w:rsidRPr="00AF35D1">
              <w:rPr>
                <w:rFonts w:ascii="Calibri" w:hAnsi="Calibri"/>
                <w:b/>
                <w:bCs/>
              </w:rPr>
              <w:t>Naziv konta</w:t>
            </w:r>
          </w:p>
        </w:tc>
        <w:tc>
          <w:tcPr>
            <w:tcW w:w="1701" w:type="dxa"/>
            <w:vMerge w:val="restart"/>
            <w:noWrap/>
            <w:hideMark/>
          </w:tcPr>
          <w:p w14:paraId="210B54CB" w14:textId="77777777" w:rsidR="00A12819" w:rsidRPr="00AF35D1" w:rsidRDefault="00A12819" w:rsidP="00942AE4">
            <w:pPr>
              <w:rPr>
                <w:rFonts w:ascii="Calibri" w:hAnsi="Calibri"/>
                <w:b/>
                <w:bCs/>
              </w:rPr>
            </w:pPr>
            <w:r w:rsidRPr="00AF35D1">
              <w:rPr>
                <w:rFonts w:ascii="Calibri" w:hAnsi="Calibri"/>
                <w:b/>
                <w:bCs/>
              </w:rPr>
              <w:t>Iznos</w:t>
            </w:r>
            <w:r>
              <w:rPr>
                <w:rFonts w:ascii="Calibri" w:hAnsi="Calibri"/>
                <w:b/>
                <w:bCs/>
              </w:rPr>
              <w:t xml:space="preserve"> u EUR</w:t>
            </w:r>
          </w:p>
        </w:tc>
        <w:tc>
          <w:tcPr>
            <w:tcW w:w="1276" w:type="dxa"/>
            <w:vMerge w:val="restart"/>
            <w:noWrap/>
            <w:hideMark/>
          </w:tcPr>
          <w:p w14:paraId="4AC0A82B" w14:textId="77777777" w:rsidR="00A12819" w:rsidRPr="00AF35D1" w:rsidRDefault="00A12819" w:rsidP="00942AE4">
            <w:pPr>
              <w:rPr>
                <w:rFonts w:ascii="Calibri" w:hAnsi="Calibri"/>
                <w:b/>
                <w:bCs/>
              </w:rPr>
            </w:pPr>
            <w:r w:rsidRPr="00AF35D1">
              <w:rPr>
                <w:rFonts w:ascii="Calibri" w:hAnsi="Calibri"/>
                <w:b/>
                <w:bCs/>
              </w:rPr>
              <w:t>Napomena</w:t>
            </w:r>
          </w:p>
        </w:tc>
      </w:tr>
      <w:tr w:rsidR="00A12819" w:rsidRPr="00AF35D1" w14:paraId="05A6BD03" w14:textId="77777777" w:rsidTr="00A12819">
        <w:trPr>
          <w:trHeight w:val="300"/>
        </w:trPr>
        <w:tc>
          <w:tcPr>
            <w:tcW w:w="789" w:type="dxa"/>
            <w:noWrap/>
            <w:hideMark/>
          </w:tcPr>
          <w:p w14:paraId="1244166A" w14:textId="77777777" w:rsidR="00A12819" w:rsidRPr="00AF35D1" w:rsidRDefault="00A12819" w:rsidP="00942AE4">
            <w:pPr>
              <w:rPr>
                <w:rFonts w:ascii="Calibri" w:hAnsi="Calibri"/>
                <w:b/>
                <w:bCs/>
              </w:rPr>
            </w:pPr>
            <w:r w:rsidRPr="00AF35D1">
              <w:rPr>
                <w:rFonts w:ascii="Calibri" w:hAnsi="Calibri"/>
                <w:b/>
                <w:bCs/>
              </w:rPr>
              <w:t>broj</w:t>
            </w:r>
          </w:p>
        </w:tc>
        <w:tc>
          <w:tcPr>
            <w:tcW w:w="818" w:type="dxa"/>
            <w:vMerge/>
            <w:hideMark/>
          </w:tcPr>
          <w:p w14:paraId="591CA118" w14:textId="77777777" w:rsidR="00A12819" w:rsidRPr="00AF35D1" w:rsidRDefault="00A12819" w:rsidP="00942AE4">
            <w:pPr>
              <w:rPr>
                <w:rFonts w:ascii="Calibri" w:hAnsi="Calibri"/>
                <w:b/>
                <w:bCs/>
              </w:rPr>
            </w:pPr>
          </w:p>
        </w:tc>
        <w:tc>
          <w:tcPr>
            <w:tcW w:w="4767" w:type="dxa"/>
            <w:vMerge/>
            <w:hideMark/>
          </w:tcPr>
          <w:p w14:paraId="3A5D0596" w14:textId="77777777" w:rsidR="00A12819" w:rsidRPr="00AF35D1" w:rsidRDefault="00A12819" w:rsidP="00942AE4">
            <w:pPr>
              <w:rPr>
                <w:rFonts w:ascii="Calibri" w:hAnsi="Calibri"/>
                <w:b/>
                <w:bCs/>
              </w:rPr>
            </w:pPr>
          </w:p>
        </w:tc>
        <w:tc>
          <w:tcPr>
            <w:tcW w:w="1701" w:type="dxa"/>
            <w:vMerge/>
            <w:hideMark/>
          </w:tcPr>
          <w:p w14:paraId="1DAC2C9A" w14:textId="77777777" w:rsidR="00A12819" w:rsidRPr="00AF35D1" w:rsidRDefault="00A12819" w:rsidP="00942AE4">
            <w:pPr>
              <w:rPr>
                <w:rFonts w:ascii="Calibri" w:hAnsi="Calibri"/>
                <w:b/>
                <w:bCs/>
              </w:rPr>
            </w:pPr>
          </w:p>
        </w:tc>
        <w:tc>
          <w:tcPr>
            <w:tcW w:w="1276" w:type="dxa"/>
            <w:vMerge/>
            <w:hideMark/>
          </w:tcPr>
          <w:p w14:paraId="7137D301" w14:textId="77777777" w:rsidR="00A12819" w:rsidRPr="00AF35D1" w:rsidRDefault="00A12819" w:rsidP="00942AE4">
            <w:pPr>
              <w:rPr>
                <w:rFonts w:ascii="Calibri" w:hAnsi="Calibri"/>
                <w:b/>
                <w:bCs/>
              </w:rPr>
            </w:pPr>
          </w:p>
        </w:tc>
      </w:tr>
      <w:tr w:rsidR="00A12819" w:rsidRPr="00AF35D1" w14:paraId="56A10470" w14:textId="77777777" w:rsidTr="00A12819">
        <w:trPr>
          <w:trHeight w:val="360"/>
        </w:trPr>
        <w:tc>
          <w:tcPr>
            <w:tcW w:w="789" w:type="dxa"/>
            <w:noWrap/>
          </w:tcPr>
          <w:p w14:paraId="68ADC214" w14:textId="77777777" w:rsidR="00A12819" w:rsidRPr="004D5CF5" w:rsidRDefault="00A12819" w:rsidP="00942AE4">
            <w:pPr>
              <w:jc w:val="center"/>
              <w:rPr>
                <w:rFonts w:ascii="Calibri" w:hAnsi="Calibri"/>
              </w:rPr>
            </w:pPr>
            <w:r>
              <w:rPr>
                <w:rFonts w:ascii="Calibri" w:hAnsi="Calibri"/>
              </w:rPr>
              <w:t>1.</w:t>
            </w:r>
          </w:p>
        </w:tc>
        <w:tc>
          <w:tcPr>
            <w:tcW w:w="818" w:type="dxa"/>
            <w:noWrap/>
          </w:tcPr>
          <w:p w14:paraId="6CFB56A0" w14:textId="77777777" w:rsidR="00A12819" w:rsidRPr="00AF35D1" w:rsidRDefault="00A12819" w:rsidP="00942AE4">
            <w:pPr>
              <w:rPr>
                <w:rFonts w:ascii="Calibri" w:hAnsi="Calibri"/>
              </w:rPr>
            </w:pPr>
            <w:r w:rsidRPr="00AF35D1">
              <w:rPr>
                <w:rFonts w:ascii="Calibri" w:hAnsi="Calibri"/>
              </w:rPr>
              <w:t>1291</w:t>
            </w:r>
          </w:p>
        </w:tc>
        <w:tc>
          <w:tcPr>
            <w:tcW w:w="4767" w:type="dxa"/>
            <w:noWrap/>
          </w:tcPr>
          <w:p w14:paraId="01371E68" w14:textId="77777777" w:rsidR="00A12819" w:rsidRPr="00AF35D1" w:rsidRDefault="00A12819" w:rsidP="00942AE4">
            <w:pPr>
              <w:rPr>
                <w:rFonts w:ascii="Calibri" w:hAnsi="Calibri"/>
              </w:rPr>
            </w:pPr>
            <w:r w:rsidRPr="00AF35D1">
              <w:rPr>
                <w:rFonts w:ascii="Calibri" w:hAnsi="Calibri"/>
              </w:rPr>
              <w:t>Potraž.za naknade koje se refund.i predujmove</w:t>
            </w:r>
          </w:p>
        </w:tc>
        <w:tc>
          <w:tcPr>
            <w:tcW w:w="1701" w:type="dxa"/>
            <w:noWrap/>
          </w:tcPr>
          <w:p w14:paraId="3A962D03" w14:textId="77777777" w:rsidR="00A12819" w:rsidRPr="00AF35D1" w:rsidRDefault="00A12819" w:rsidP="00942AE4">
            <w:pPr>
              <w:jc w:val="right"/>
              <w:rPr>
                <w:rFonts w:ascii="Calibri" w:hAnsi="Calibri"/>
              </w:rPr>
            </w:pPr>
            <w:r>
              <w:rPr>
                <w:rFonts w:ascii="Calibri" w:hAnsi="Calibri"/>
              </w:rPr>
              <w:t>20.065,17</w:t>
            </w:r>
          </w:p>
        </w:tc>
        <w:tc>
          <w:tcPr>
            <w:tcW w:w="1276" w:type="dxa"/>
            <w:noWrap/>
          </w:tcPr>
          <w:p w14:paraId="2E498C88" w14:textId="77777777" w:rsidR="00A12819" w:rsidRPr="00AF35D1" w:rsidRDefault="00A12819" w:rsidP="00942AE4">
            <w:pPr>
              <w:rPr>
                <w:rFonts w:ascii="Calibri" w:hAnsi="Calibri"/>
              </w:rPr>
            </w:pPr>
          </w:p>
        </w:tc>
      </w:tr>
      <w:tr w:rsidR="00A12819" w:rsidRPr="00AF35D1" w14:paraId="256CB709" w14:textId="77777777" w:rsidTr="00A12819">
        <w:trPr>
          <w:trHeight w:val="360"/>
        </w:trPr>
        <w:tc>
          <w:tcPr>
            <w:tcW w:w="789" w:type="dxa"/>
            <w:noWrap/>
            <w:hideMark/>
          </w:tcPr>
          <w:p w14:paraId="7A341E04" w14:textId="77777777" w:rsidR="00A12819" w:rsidRPr="00AF35D1" w:rsidRDefault="00A12819" w:rsidP="00942AE4">
            <w:pPr>
              <w:jc w:val="center"/>
              <w:rPr>
                <w:rFonts w:ascii="Calibri" w:hAnsi="Calibri"/>
              </w:rPr>
            </w:pPr>
            <w:bookmarkStart w:id="22" w:name="_Hlk31128496"/>
            <w:r>
              <w:rPr>
                <w:rFonts w:ascii="Calibri" w:hAnsi="Calibri"/>
              </w:rPr>
              <w:t>2.</w:t>
            </w:r>
          </w:p>
        </w:tc>
        <w:tc>
          <w:tcPr>
            <w:tcW w:w="818" w:type="dxa"/>
            <w:noWrap/>
            <w:hideMark/>
          </w:tcPr>
          <w:p w14:paraId="3C707DC8" w14:textId="77777777" w:rsidR="00A12819" w:rsidRPr="00AF35D1" w:rsidRDefault="00A12819" w:rsidP="00942AE4">
            <w:pPr>
              <w:rPr>
                <w:rFonts w:ascii="Calibri" w:hAnsi="Calibri"/>
              </w:rPr>
            </w:pPr>
            <w:r w:rsidRPr="00AF35D1">
              <w:rPr>
                <w:rFonts w:ascii="Calibri" w:hAnsi="Calibri"/>
              </w:rPr>
              <w:t>1</w:t>
            </w:r>
            <w:r>
              <w:rPr>
                <w:rFonts w:ascii="Calibri" w:hAnsi="Calibri"/>
              </w:rPr>
              <w:t>292</w:t>
            </w:r>
          </w:p>
        </w:tc>
        <w:tc>
          <w:tcPr>
            <w:tcW w:w="4767" w:type="dxa"/>
            <w:noWrap/>
            <w:hideMark/>
          </w:tcPr>
          <w:p w14:paraId="42964516" w14:textId="77777777" w:rsidR="00A12819" w:rsidRPr="00AF35D1" w:rsidRDefault="00A12819" w:rsidP="00942AE4">
            <w:pPr>
              <w:rPr>
                <w:rFonts w:ascii="Calibri" w:hAnsi="Calibri"/>
              </w:rPr>
            </w:pPr>
            <w:r>
              <w:rPr>
                <w:rFonts w:ascii="Calibri" w:hAnsi="Calibri"/>
              </w:rPr>
              <w:t>Potraživanja od kartičnih kuća</w:t>
            </w:r>
          </w:p>
        </w:tc>
        <w:tc>
          <w:tcPr>
            <w:tcW w:w="1701" w:type="dxa"/>
            <w:noWrap/>
            <w:hideMark/>
          </w:tcPr>
          <w:p w14:paraId="19E53842" w14:textId="77777777" w:rsidR="00A12819" w:rsidRPr="00AF35D1" w:rsidRDefault="00A12819" w:rsidP="00942AE4">
            <w:pPr>
              <w:jc w:val="right"/>
              <w:rPr>
                <w:rFonts w:ascii="Calibri" w:hAnsi="Calibri"/>
              </w:rPr>
            </w:pPr>
            <w:r>
              <w:rPr>
                <w:rFonts w:ascii="Calibri" w:hAnsi="Calibri"/>
              </w:rPr>
              <w:t>654,61</w:t>
            </w:r>
          </w:p>
        </w:tc>
        <w:tc>
          <w:tcPr>
            <w:tcW w:w="1276" w:type="dxa"/>
            <w:noWrap/>
            <w:hideMark/>
          </w:tcPr>
          <w:p w14:paraId="09ABF899" w14:textId="77777777" w:rsidR="00A12819" w:rsidRPr="00AF35D1" w:rsidRDefault="00A12819" w:rsidP="00942AE4">
            <w:pPr>
              <w:rPr>
                <w:rFonts w:ascii="Calibri" w:hAnsi="Calibri"/>
              </w:rPr>
            </w:pPr>
            <w:r w:rsidRPr="00AF35D1">
              <w:rPr>
                <w:rFonts w:ascii="Calibri" w:hAnsi="Calibri"/>
              </w:rPr>
              <w:t> </w:t>
            </w:r>
          </w:p>
        </w:tc>
      </w:tr>
      <w:tr w:rsidR="00A12819" w:rsidRPr="00AF35D1" w14:paraId="4768068A" w14:textId="77777777" w:rsidTr="00A12819">
        <w:trPr>
          <w:trHeight w:val="360"/>
        </w:trPr>
        <w:tc>
          <w:tcPr>
            <w:tcW w:w="789" w:type="dxa"/>
            <w:noWrap/>
            <w:hideMark/>
          </w:tcPr>
          <w:p w14:paraId="56B6A99D" w14:textId="77777777" w:rsidR="00A12819" w:rsidRPr="00AF35D1" w:rsidRDefault="00A12819" w:rsidP="00942AE4">
            <w:pPr>
              <w:jc w:val="center"/>
              <w:rPr>
                <w:rFonts w:ascii="Calibri" w:hAnsi="Calibri"/>
              </w:rPr>
            </w:pPr>
            <w:r>
              <w:rPr>
                <w:rFonts w:ascii="Calibri" w:hAnsi="Calibri"/>
              </w:rPr>
              <w:t>3</w:t>
            </w:r>
            <w:r w:rsidRPr="00AF35D1">
              <w:rPr>
                <w:rFonts w:ascii="Calibri" w:hAnsi="Calibri"/>
              </w:rPr>
              <w:t>.</w:t>
            </w:r>
          </w:p>
        </w:tc>
        <w:tc>
          <w:tcPr>
            <w:tcW w:w="818" w:type="dxa"/>
            <w:noWrap/>
            <w:hideMark/>
          </w:tcPr>
          <w:p w14:paraId="3895C19B" w14:textId="77777777" w:rsidR="00A12819" w:rsidRPr="00AF35D1" w:rsidRDefault="00A12819" w:rsidP="00942AE4">
            <w:pPr>
              <w:rPr>
                <w:rFonts w:ascii="Calibri" w:hAnsi="Calibri"/>
              </w:rPr>
            </w:pPr>
            <w:r w:rsidRPr="00AF35D1">
              <w:rPr>
                <w:rFonts w:ascii="Calibri" w:hAnsi="Calibri"/>
              </w:rPr>
              <w:t>1512</w:t>
            </w:r>
          </w:p>
        </w:tc>
        <w:tc>
          <w:tcPr>
            <w:tcW w:w="4767" w:type="dxa"/>
            <w:noWrap/>
            <w:hideMark/>
          </w:tcPr>
          <w:p w14:paraId="64311B6B" w14:textId="77777777" w:rsidR="00A12819" w:rsidRPr="00AF35D1" w:rsidRDefault="00A12819" w:rsidP="00942AE4">
            <w:pPr>
              <w:rPr>
                <w:rFonts w:ascii="Calibri" w:hAnsi="Calibri"/>
              </w:rPr>
            </w:pPr>
            <w:r w:rsidRPr="00AF35D1">
              <w:rPr>
                <w:rFonts w:ascii="Calibri" w:hAnsi="Calibri"/>
              </w:rPr>
              <w:t>Dionice ( Zagrebačka banka i Arenaturista)</w:t>
            </w:r>
          </w:p>
        </w:tc>
        <w:tc>
          <w:tcPr>
            <w:tcW w:w="1701" w:type="dxa"/>
            <w:noWrap/>
            <w:hideMark/>
          </w:tcPr>
          <w:p w14:paraId="4AF5B5FB" w14:textId="77777777" w:rsidR="00A12819" w:rsidRPr="00AF35D1" w:rsidRDefault="00A12819" w:rsidP="00942AE4">
            <w:pPr>
              <w:jc w:val="right"/>
              <w:rPr>
                <w:rFonts w:ascii="Calibri" w:hAnsi="Calibri"/>
              </w:rPr>
            </w:pPr>
            <w:r>
              <w:rPr>
                <w:rFonts w:ascii="Calibri" w:hAnsi="Calibri"/>
              </w:rPr>
              <w:t>1.267,41</w:t>
            </w:r>
          </w:p>
        </w:tc>
        <w:tc>
          <w:tcPr>
            <w:tcW w:w="1276" w:type="dxa"/>
            <w:noWrap/>
            <w:hideMark/>
          </w:tcPr>
          <w:p w14:paraId="4F533D6B" w14:textId="77777777" w:rsidR="00A12819" w:rsidRPr="00AF35D1" w:rsidRDefault="00A12819" w:rsidP="00942AE4">
            <w:pPr>
              <w:rPr>
                <w:rFonts w:ascii="Calibri" w:hAnsi="Calibri"/>
              </w:rPr>
            </w:pPr>
            <w:r w:rsidRPr="00AF35D1">
              <w:rPr>
                <w:rFonts w:ascii="Calibri" w:hAnsi="Calibri"/>
              </w:rPr>
              <w:t> </w:t>
            </w:r>
          </w:p>
        </w:tc>
      </w:tr>
      <w:bookmarkEnd w:id="22"/>
      <w:tr w:rsidR="00A12819" w:rsidRPr="00AF35D1" w14:paraId="1F76425D" w14:textId="77777777" w:rsidTr="00A12819">
        <w:trPr>
          <w:trHeight w:val="360"/>
        </w:trPr>
        <w:tc>
          <w:tcPr>
            <w:tcW w:w="789" w:type="dxa"/>
            <w:noWrap/>
            <w:hideMark/>
          </w:tcPr>
          <w:p w14:paraId="7CCFBFB6" w14:textId="77777777" w:rsidR="00A12819" w:rsidRPr="00AF35D1" w:rsidRDefault="00A12819" w:rsidP="00942AE4">
            <w:pPr>
              <w:jc w:val="center"/>
              <w:rPr>
                <w:rFonts w:ascii="Calibri" w:hAnsi="Calibri"/>
              </w:rPr>
            </w:pPr>
            <w:r>
              <w:rPr>
                <w:rFonts w:ascii="Calibri" w:hAnsi="Calibri"/>
              </w:rPr>
              <w:t>4</w:t>
            </w:r>
            <w:r w:rsidRPr="00AF35D1">
              <w:rPr>
                <w:rFonts w:ascii="Calibri" w:hAnsi="Calibri"/>
              </w:rPr>
              <w:t>.</w:t>
            </w:r>
          </w:p>
        </w:tc>
        <w:tc>
          <w:tcPr>
            <w:tcW w:w="818" w:type="dxa"/>
            <w:noWrap/>
            <w:hideMark/>
          </w:tcPr>
          <w:p w14:paraId="48FA9251" w14:textId="77777777" w:rsidR="00A12819" w:rsidRPr="00AF35D1" w:rsidRDefault="00A12819" w:rsidP="00942AE4">
            <w:pPr>
              <w:rPr>
                <w:rFonts w:ascii="Calibri" w:hAnsi="Calibri"/>
              </w:rPr>
            </w:pPr>
            <w:r w:rsidRPr="00AF35D1">
              <w:rPr>
                <w:rFonts w:ascii="Calibri" w:hAnsi="Calibri"/>
              </w:rPr>
              <w:t>1642</w:t>
            </w:r>
          </w:p>
        </w:tc>
        <w:tc>
          <w:tcPr>
            <w:tcW w:w="4767" w:type="dxa"/>
            <w:noWrap/>
            <w:hideMark/>
          </w:tcPr>
          <w:p w14:paraId="4FCC082A" w14:textId="77777777" w:rsidR="00A12819" w:rsidRPr="00AF35D1" w:rsidRDefault="00A12819" w:rsidP="00942AE4">
            <w:pPr>
              <w:rPr>
                <w:rFonts w:ascii="Calibri" w:hAnsi="Calibri"/>
              </w:rPr>
            </w:pPr>
            <w:r w:rsidRPr="00AF35D1">
              <w:rPr>
                <w:rFonts w:ascii="Calibri" w:hAnsi="Calibri"/>
              </w:rPr>
              <w:t>Potraživanja za prodane stanove zaposlenih</w:t>
            </w:r>
          </w:p>
        </w:tc>
        <w:tc>
          <w:tcPr>
            <w:tcW w:w="1701" w:type="dxa"/>
            <w:noWrap/>
            <w:hideMark/>
          </w:tcPr>
          <w:p w14:paraId="61620BD2" w14:textId="77777777" w:rsidR="00A12819" w:rsidRPr="00AF35D1" w:rsidRDefault="00A12819" w:rsidP="00942AE4">
            <w:pPr>
              <w:jc w:val="right"/>
              <w:rPr>
                <w:rFonts w:ascii="Calibri" w:hAnsi="Calibri"/>
              </w:rPr>
            </w:pPr>
            <w:r>
              <w:rPr>
                <w:rFonts w:ascii="Calibri" w:hAnsi="Calibri"/>
              </w:rPr>
              <w:t>61,64</w:t>
            </w:r>
          </w:p>
        </w:tc>
        <w:tc>
          <w:tcPr>
            <w:tcW w:w="1276" w:type="dxa"/>
            <w:noWrap/>
            <w:hideMark/>
          </w:tcPr>
          <w:p w14:paraId="096C6BF5" w14:textId="77777777" w:rsidR="00A12819" w:rsidRPr="00AF35D1" w:rsidRDefault="00A12819" w:rsidP="00942AE4">
            <w:pPr>
              <w:rPr>
                <w:rFonts w:ascii="Calibri" w:hAnsi="Calibri"/>
              </w:rPr>
            </w:pPr>
            <w:r w:rsidRPr="00AF35D1">
              <w:rPr>
                <w:rFonts w:ascii="Calibri" w:hAnsi="Calibri"/>
              </w:rPr>
              <w:t> </w:t>
            </w:r>
          </w:p>
        </w:tc>
      </w:tr>
      <w:tr w:rsidR="00A12819" w:rsidRPr="00AF35D1" w14:paraId="5E47D695" w14:textId="77777777" w:rsidTr="00A12819">
        <w:trPr>
          <w:trHeight w:val="360"/>
        </w:trPr>
        <w:tc>
          <w:tcPr>
            <w:tcW w:w="789" w:type="dxa"/>
            <w:noWrap/>
            <w:hideMark/>
          </w:tcPr>
          <w:p w14:paraId="16DCB1A5" w14:textId="77777777" w:rsidR="00A12819" w:rsidRPr="00AF35D1" w:rsidRDefault="00A12819" w:rsidP="00942AE4">
            <w:pPr>
              <w:jc w:val="center"/>
              <w:rPr>
                <w:rFonts w:ascii="Calibri" w:hAnsi="Calibri"/>
              </w:rPr>
            </w:pPr>
            <w:r>
              <w:rPr>
                <w:rFonts w:ascii="Calibri" w:hAnsi="Calibri"/>
              </w:rPr>
              <w:t>5</w:t>
            </w:r>
            <w:r w:rsidRPr="00AF35D1">
              <w:rPr>
                <w:rFonts w:ascii="Calibri" w:hAnsi="Calibri"/>
              </w:rPr>
              <w:t>.</w:t>
            </w:r>
          </w:p>
        </w:tc>
        <w:tc>
          <w:tcPr>
            <w:tcW w:w="818" w:type="dxa"/>
            <w:noWrap/>
            <w:hideMark/>
          </w:tcPr>
          <w:p w14:paraId="2B97C1D6" w14:textId="77777777" w:rsidR="00A12819" w:rsidRPr="00AF35D1" w:rsidRDefault="00A12819" w:rsidP="00942AE4">
            <w:pPr>
              <w:rPr>
                <w:rFonts w:ascii="Calibri" w:hAnsi="Calibri"/>
              </w:rPr>
            </w:pPr>
            <w:r w:rsidRPr="00AF35D1">
              <w:rPr>
                <w:rFonts w:ascii="Calibri" w:hAnsi="Calibri"/>
              </w:rPr>
              <w:t>1661</w:t>
            </w:r>
          </w:p>
        </w:tc>
        <w:tc>
          <w:tcPr>
            <w:tcW w:w="4767" w:type="dxa"/>
            <w:noWrap/>
            <w:hideMark/>
          </w:tcPr>
          <w:p w14:paraId="77F3FFBD" w14:textId="77777777" w:rsidR="00A12819" w:rsidRPr="00AF35D1" w:rsidRDefault="00A12819" w:rsidP="00942AE4">
            <w:pPr>
              <w:rPr>
                <w:rFonts w:ascii="Calibri" w:hAnsi="Calibri"/>
              </w:rPr>
            </w:pPr>
            <w:r w:rsidRPr="00AF35D1">
              <w:rPr>
                <w:rFonts w:ascii="Calibri" w:hAnsi="Calibri"/>
              </w:rPr>
              <w:t>Potraživanja za prihode od pruženih usluga</w:t>
            </w:r>
          </w:p>
        </w:tc>
        <w:tc>
          <w:tcPr>
            <w:tcW w:w="1701" w:type="dxa"/>
            <w:noWrap/>
            <w:hideMark/>
          </w:tcPr>
          <w:p w14:paraId="66A6DD0F" w14:textId="77777777" w:rsidR="00A12819" w:rsidRPr="00AF35D1" w:rsidRDefault="00A12819" w:rsidP="00942AE4">
            <w:pPr>
              <w:jc w:val="right"/>
              <w:rPr>
                <w:rFonts w:ascii="Calibri" w:hAnsi="Calibri"/>
              </w:rPr>
            </w:pPr>
            <w:r>
              <w:rPr>
                <w:rFonts w:ascii="Calibri" w:hAnsi="Calibri"/>
              </w:rPr>
              <w:t>438.074,99</w:t>
            </w:r>
          </w:p>
        </w:tc>
        <w:tc>
          <w:tcPr>
            <w:tcW w:w="1276" w:type="dxa"/>
            <w:noWrap/>
            <w:hideMark/>
          </w:tcPr>
          <w:p w14:paraId="2A7B7BC4" w14:textId="77777777" w:rsidR="00A12819" w:rsidRPr="00AF35D1" w:rsidRDefault="00A12819" w:rsidP="00942AE4">
            <w:pPr>
              <w:rPr>
                <w:rFonts w:ascii="Calibri" w:hAnsi="Calibri"/>
              </w:rPr>
            </w:pPr>
            <w:r w:rsidRPr="00AF35D1">
              <w:rPr>
                <w:rFonts w:ascii="Calibri" w:hAnsi="Calibri"/>
              </w:rPr>
              <w:t> </w:t>
            </w:r>
          </w:p>
        </w:tc>
      </w:tr>
      <w:tr w:rsidR="00A12819" w:rsidRPr="00AF35D1" w14:paraId="077C273A" w14:textId="77777777" w:rsidTr="00A12819">
        <w:trPr>
          <w:trHeight w:val="360"/>
        </w:trPr>
        <w:tc>
          <w:tcPr>
            <w:tcW w:w="789" w:type="dxa"/>
            <w:noWrap/>
            <w:hideMark/>
          </w:tcPr>
          <w:p w14:paraId="04FFFDCE" w14:textId="77777777" w:rsidR="00A12819" w:rsidRPr="00AF35D1" w:rsidRDefault="00A12819" w:rsidP="00942AE4">
            <w:pPr>
              <w:jc w:val="center"/>
              <w:rPr>
                <w:rFonts w:ascii="Calibri" w:hAnsi="Calibri"/>
              </w:rPr>
            </w:pPr>
            <w:r>
              <w:rPr>
                <w:rFonts w:ascii="Calibri" w:hAnsi="Calibri"/>
              </w:rPr>
              <w:t>6</w:t>
            </w:r>
            <w:r w:rsidRPr="00AF35D1">
              <w:rPr>
                <w:rFonts w:ascii="Calibri" w:hAnsi="Calibri"/>
              </w:rPr>
              <w:t>.</w:t>
            </w:r>
          </w:p>
        </w:tc>
        <w:tc>
          <w:tcPr>
            <w:tcW w:w="818" w:type="dxa"/>
            <w:noWrap/>
            <w:hideMark/>
          </w:tcPr>
          <w:p w14:paraId="6BB87BFC" w14:textId="77777777" w:rsidR="00A12819" w:rsidRPr="00AF35D1" w:rsidRDefault="00A12819" w:rsidP="00942AE4">
            <w:pPr>
              <w:rPr>
                <w:rFonts w:ascii="Calibri" w:hAnsi="Calibri"/>
              </w:rPr>
            </w:pPr>
            <w:r>
              <w:rPr>
                <w:rFonts w:ascii="Calibri" w:hAnsi="Calibri"/>
              </w:rPr>
              <w:t>1673</w:t>
            </w:r>
          </w:p>
        </w:tc>
        <w:tc>
          <w:tcPr>
            <w:tcW w:w="4767" w:type="dxa"/>
            <w:noWrap/>
            <w:hideMark/>
          </w:tcPr>
          <w:p w14:paraId="1F795C93" w14:textId="77777777" w:rsidR="00A12819" w:rsidRPr="00AF35D1" w:rsidRDefault="00A12819" w:rsidP="00942AE4">
            <w:pPr>
              <w:rPr>
                <w:rFonts w:ascii="Calibri" w:hAnsi="Calibri"/>
              </w:rPr>
            </w:pPr>
            <w:r w:rsidRPr="00AF35D1">
              <w:rPr>
                <w:rFonts w:ascii="Calibri" w:hAnsi="Calibri"/>
              </w:rPr>
              <w:t>Potra</w:t>
            </w:r>
            <w:r>
              <w:rPr>
                <w:rFonts w:ascii="Calibri" w:hAnsi="Calibri"/>
              </w:rPr>
              <w:t>živanje od HZZO- ugovorna obveza</w:t>
            </w:r>
          </w:p>
        </w:tc>
        <w:tc>
          <w:tcPr>
            <w:tcW w:w="1701" w:type="dxa"/>
            <w:noWrap/>
            <w:hideMark/>
          </w:tcPr>
          <w:p w14:paraId="0DE127C8" w14:textId="77777777" w:rsidR="00A12819" w:rsidRPr="00AF35D1" w:rsidRDefault="00A12819" w:rsidP="00942AE4">
            <w:pPr>
              <w:jc w:val="right"/>
              <w:rPr>
                <w:rFonts w:ascii="Calibri" w:hAnsi="Calibri"/>
              </w:rPr>
            </w:pPr>
            <w:r>
              <w:rPr>
                <w:rFonts w:ascii="Calibri" w:hAnsi="Calibri"/>
              </w:rPr>
              <w:t>742.062,02</w:t>
            </w:r>
          </w:p>
        </w:tc>
        <w:tc>
          <w:tcPr>
            <w:tcW w:w="1276" w:type="dxa"/>
            <w:noWrap/>
            <w:hideMark/>
          </w:tcPr>
          <w:p w14:paraId="11BFD5DD" w14:textId="77777777" w:rsidR="00A12819" w:rsidRPr="00AF35D1" w:rsidRDefault="00A12819" w:rsidP="00942AE4">
            <w:pPr>
              <w:rPr>
                <w:rFonts w:ascii="Calibri" w:hAnsi="Calibri"/>
              </w:rPr>
            </w:pPr>
            <w:r w:rsidRPr="00AF35D1">
              <w:rPr>
                <w:rFonts w:ascii="Calibri" w:hAnsi="Calibri"/>
              </w:rPr>
              <w:t> </w:t>
            </w:r>
          </w:p>
        </w:tc>
      </w:tr>
      <w:tr w:rsidR="00A12819" w:rsidRPr="00AF35D1" w14:paraId="0905EC82" w14:textId="77777777" w:rsidTr="00A12819">
        <w:trPr>
          <w:trHeight w:val="360"/>
        </w:trPr>
        <w:tc>
          <w:tcPr>
            <w:tcW w:w="789" w:type="dxa"/>
            <w:noWrap/>
            <w:hideMark/>
          </w:tcPr>
          <w:p w14:paraId="40F9886E" w14:textId="77777777" w:rsidR="00A12819" w:rsidRPr="00AF35D1" w:rsidRDefault="00A12819" w:rsidP="00942AE4">
            <w:pPr>
              <w:jc w:val="center"/>
              <w:rPr>
                <w:rFonts w:ascii="Calibri" w:hAnsi="Calibri"/>
              </w:rPr>
            </w:pPr>
            <w:r>
              <w:rPr>
                <w:rFonts w:ascii="Calibri" w:hAnsi="Calibri"/>
              </w:rPr>
              <w:t>7</w:t>
            </w:r>
            <w:r w:rsidRPr="00AF35D1">
              <w:rPr>
                <w:rFonts w:ascii="Calibri" w:hAnsi="Calibri"/>
              </w:rPr>
              <w:t>.</w:t>
            </w:r>
          </w:p>
        </w:tc>
        <w:tc>
          <w:tcPr>
            <w:tcW w:w="818" w:type="dxa"/>
            <w:noWrap/>
            <w:hideMark/>
          </w:tcPr>
          <w:p w14:paraId="3FF3ABD1" w14:textId="77777777" w:rsidR="00A12819" w:rsidRPr="00AF35D1" w:rsidRDefault="00A12819" w:rsidP="00942AE4">
            <w:pPr>
              <w:rPr>
                <w:rFonts w:ascii="Calibri" w:hAnsi="Calibri"/>
              </w:rPr>
            </w:pPr>
            <w:r>
              <w:rPr>
                <w:rFonts w:ascii="Calibri" w:hAnsi="Calibri"/>
              </w:rPr>
              <w:t>1691</w:t>
            </w:r>
          </w:p>
        </w:tc>
        <w:tc>
          <w:tcPr>
            <w:tcW w:w="4767" w:type="dxa"/>
            <w:noWrap/>
            <w:hideMark/>
          </w:tcPr>
          <w:p w14:paraId="02135230" w14:textId="77777777" w:rsidR="00A12819" w:rsidRPr="00AF35D1" w:rsidRDefault="00A12819" w:rsidP="00942AE4">
            <w:pPr>
              <w:rPr>
                <w:rFonts w:ascii="Calibri" w:hAnsi="Calibri"/>
              </w:rPr>
            </w:pPr>
            <w:r>
              <w:rPr>
                <w:rFonts w:ascii="Calibri" w:hAnsi="Calibri"/>
              </w:rPr>
              <w:t>Ispravak vrijednosti potraživanja</w:t>
            </w:r>
          </w:p>
        </w:tc>
        <w:tc>
          <w:tcPr>
            <w:tcW w:w="1701" w:type="dxa"/>
            <w:noWrap/>
            <w:hideMark/>
          </w:tcPr>
          <w:p w14:paraId="3A44A613" w14:textId="77777777" w:rsidR="00A12819" w:rsidRPr="00AF35D1" w:rsidRDefault="00A12819" w:rsidP="00942AE4">
            <w:pPr>
              <w:jc w:val="right"/>
              <w:rPr>
                <w:rFonts w:ascii="Calibri" w:hAnsi="Calibri"/>
              </w:rPr>
            </w:pPr>
            <w:r>
              <w:rPr>
                <w:rFonts w:ascii="Calibri" w:hAnsi="Calibri"/>
              </w:rPr>
              <w:t>-263.044,43</w:t>
            </w:r>
          </w:p>
        </w:tc>
        <w:tc>
          <w:tcPr>
            <w:tcW w:w="1276" w:type="dxa"/>
            <w:noWrap/>
            <w:hideMark/>
          </w:tcPr>
          <w:p w14:paraId="76A3E7F0" w14:textId="77777777" w:rsidR="00A12819" w:rsidRPr="00AF35D1" w:rsidRDefault="00A12819" w:rsidP="00942AE4">
            <w:pPr>
              <w:rPr>
                <w:rFonts w:ascii="Calibri" w:hAnsi="Calibri"/>
              </w:rPr>
            </w:pPr>
            <w:r w:rsidRPr="00AF35D1">
              <w:rPr>
                <w:rFonts w:ascii="Calibri" w:hAnsi="Calibri"/>
              </w:rPr>
              <w:t> </w:t>
            </w:r>
          </w:p>
        </w:tc>
      </w:tr>
      <w:tr w:rsidR="00A12819" w:rsidRPr="00AF35D1" w14:paraId="1C093EAE" w14:textId="77777777" w:rsidTr="00A12819">
        <w:trPr>
          <w:trHeight w:val="360"/>
        </w:trPr>
        <w:tc>
          <w:tcPr>
            <w:tcW w:w="789" w:type="dxa"/>
            <w:noWrap/>
          </w:tcPr>
          <w:p w14:paraId="434EF6B1" w14:textId="77777777" w:rsidR="00A12819" w:rsidRDefault="00A12819" w:rsidP="00942AE4">
            <w:pPr>
              <w:jc w:val="center"/>
              <w:rPr>
                <w:rFonts w:ascii="Calibri" w:hAnsi="Calibri"/>
              </w:rPr>
            </w:pPr>
            <w:r>
              <w:rPr>
                <w:rFonts w:ascii="Calibri" w:hAnsi="Calibri"/>
              </w:rPr>
              <w:t>8.</w:t>
            </w:r>
          </w:p>
        </w:tc>
        <w:tc>
          <w:tcPr>
            <w:tcW w:w="818" w:type="dxa"/>
            <w:noWrap/>
          </w:tcPr>
          <w:p w14:paraId="475AB85F" w14:textId="77777777" w:rsidR="00A12819" w:rsidRDefault="00A12819" w:rsidP="00942AE4">
            <w:pPr>
              <w:rPr>
                <w:rFonts w:ascii="Calibri" w:hAnsi="Calibri"/>
              </w:rPr>
            </w:pPr>
            <w:r>
              <w:rPr>
                <w:rFonts w:ascii="Calibri" w:hAnsi="Calibri"/>
              </w:rPr>
              <w:t>1722</w:t>
            </w:r>
          </w:p>
        </w:tc>
        <w:tc>
          <w:tcPr>
            <w:tcW w:w="4767" w:type="dxa"/>
            <w:noWrap/>
          </w:tcPr>
          <w:p w14:paraId="7E5FE6B4" w14:textId="77777777" w:rsidR="00A12819" w:rsidRDefault="00A12819" w:rsidP="00942AE4">
            <w:pPr>
              <w:rPr>
                <w:rFonts w:ascii="Calibri" w:hAnsi="Calibri"/>
              </w:rPr>
            </w:pPr>
            <w:r>
              <w:rPr>
                <w:rFonts w:ascii="Calibri" w:hAnsi="Calibri"/>
              </w:rPr>
              <w:t>Potraživanje od prodaje opreme</w:t>
            </w:r>
          </w:p>
        </w:tc>
        <w:tc>
          <w:tcPr>
            <w:tcW w:w="1701" w:type="dxa"/>
            <w:noWrap/>
          </w:tcPr>
          <w:p w14:paraId="4022918F" w14:textId="77777777" w:rsidR="00A12819" w:rsidRDefault="00A12819" w:rsidP="00942AE4">
            <w:pPr>
              <w:jc w:val="right"/>
              <w:rPr>
                <w:rFonts w:ascii="Calibri" w:hAnsi="Calibri"/>
              </w:rPr>
            </w:pPr>
            <w:r>
              <w:rPr>
                <w:rFonts w:ascii="Calibri" w:hAnsi="Calibri"/>
              </w:rPr>
              <w:t>243,69</w:t>
            </w:r>
          </w:p>
        </w:tc>
        <w:tc>
          <w:tcPr>
            <w:tcW w:w="1276" w:type="dxa"/>
            <w:noWrap/>
          </w:tcPr>
          <w:p w14:paraId="0936F2B2" w14:textId="77777777" w:rsidR="00A12819" w:rsidRPr="00AF35D1" w:rsidRDefault="00A12819" w:rsidP="00942AE4">
            <w:pPr>
              <w:rPr>
                <w:rFonts w:ascii="Calibri" w:hAnsi="Calibri"/>
              </w:rPr>
            </w:pPr>
          </w:p>
        </w:tc>
      </w:tr>
      <w:tr w:rsidR="00A12819" w:rsidRPr="00AF35D1" w14:paraId="1A4B6DE0" w14:textId="77777777" w:rsidTr="00A12819">
        <w:trPr>
          <w:trHeight w:val="300"/>
        </w:trPr>
        <w:tc>
          <w:tcPr>
            <w:tcW w:w="789" w:type="dxa"/>
            <w:noWrap/>
            <w:hideMark/>
          </w:tcPr>
          <w:p w14:paraId="29B64C8A" w14:textId="77777777" w:rsidR="00A12819" w:rsidRPr="00AF35D1" w:rsidRDefault="00A12819" w:rsidP="00942AE4">
            <w:pPr>
              <w:rPr>
                <w:rFonts w:ascii="Calibri" w:hAnsi="Calibri"/>
              </w:rPr>
            </w:pPr>
            <w:r w:rsidRPr="00AF35D1">
              <w:rPr>
                <w:rFonts w:ascii="Calibri" w:hAnsi="Calibri"/>
              </w:rPr>
              <w:t> </w:t>
            </w:r>
          </w:p>
        </w:tc>
        <w:tc>
          <w:tcPr>
            <w:tcW w:w="818" w:type="dxa"/>
            <w:noWrap/>
            <w:hideMark/>
          </w:tcPr>
          <w:p w14:paraId="51A30DDE" w14:textId="77777777" w:rsidR="00A12819" w:rsidRPr="00AF35D1" w:rsidRDefault="00A12819" w:rsidP="00942AE4">
            <w:pPr>
              <w:rPr>
                <w:rFonts w:ascii="Calibri" w:hAnsi="Calibri"/>
              </w:rPr>
            </w:pPr>
            <w:r w:rsidRPr="00AF35D1">
              <w:rPr>
                <w:rFonts w:ascii="Calibri" w:hAnsi="Calibri"/>
              </w:rPr>
              <w:t> </w:t>
            </w:r>
          </w:p>
        </w:tc>
        <w:tc>
          <w:tcPr>
            <w:tcW w:w="4767" w:type="dxa"/>
            <w:noWrap/>
            <w:hideMark/>
          </w:tcPr>
          <w:p w14:paraId="7757DF47" w14:textId="77777777" w:rsidR="00A12819" w:rsidRPr="00AF35D1" w:rsidRDefault="00A12819" w:rsidP="00942AE4">
            <w:pPr>
              <w:rPr>
                <w:rFonts w:ascii="Calibri" w:hAnsi="Calibri"/>
                <w:b/>
                <w:bCs/>
              </w:rPr>
            </w:pPr>
            <w:r w:rsidRPr="00AF35D1">
              <w:rPr>
                <w:rFonts w:ascii="Calibri" w:hAnsi="Calibri"/>
                <w:b/>
                <w:bCs/>
              </w:rPr>
              <w:t>UKUPNA POTRAŽIVANJA</w:t>
            </w:r>
          </w:p>
        </w:tc>
        <w:tc>
          <w:tcPr>
            <w:tcW w:w="1701" w:type="dxa"/>
            <w:noWrap/>
            <w:hideMark/>
          </w:tcPr>
          <w:p w14:paraId="011D9AA3" w14:textId="77777777" w:rsidR="00A12819" w:rsidRPr="00AF35D1" w:rsidRDefault="00A12819" w:rsidP="00942AE4">
            <w:pPr>
              <w:jc w:val="right"/>
              <w:rPr>
                <w:rFonts w:ascii="Calibri" w:hAnsi="Calibri"/>
                <w:b/>
                <w:bCs/>
                <w:i/>
                <w:iCs/>
              </w:rPr>
            </w:pPr>
            <w:r>
              <w:rPr>
                <w:rFonts w:ascii="Calibri" w:hAnsi="Calibri"/>
                <w:b/>
                <w:bCs/>
                <w:i/>
                <w:iCs/>
              </w:rPr>
              <w:t>939.385,10</w:t>
            </w:r>
          </w:p>
        </w:tc>
        <w:tc>
          <w:tcPr>
            <w:tcW w:w="1276" w:type="dxa"/>
            <w:noWrap/>
            <w:hideMark/>
          </w:tcPr>
          <w:p w14:paraId="67C20BCC" w14:textId="77777777" w:rsidR="00A12819" w:rsidRPr="00AF35D1" w:rsidRDefault="00A12819" w:rsidP="00942AE4">
            <w:pPr>
              <w:rPr>
                <w:rFonts w:ascii="Calibri" w:hAnsi="Calibri"/>
              </w:rPr>
            </w:pPr>
            <w:r w:rsidRPr="00AF35D1">
              <w:rPr>
                <w:rFonts w:ascii="Calibri" w:hAnsi="Calibri"/>
              </w:rPr>
              <w:t> </w:t>
            </w:r>
          </w:p>
        </w:tc>
      </w:tr>
    </w:tbl>
    <w:p w14:paraId="40980DDC" w14:textId="77777777" w:rsidR="000D1781" w:rsidRDefault="000D1781" w:rsidP="000D1781"/>
    <w:p w14:paraId="27CCC7F2" w14:textId="393F48FE" w:rsidR="00B0072A" w:rsidRDefault="00B0072A" w:rsidP="00B0072A">
      <w:pPr>
        <w:tabs>
          <w:tab w:val="left" w:pos="1140"/>
        </w:tabs>
        <w:jc w:val="both"/>
      </w:pPr>
      <w:r>
        <w:t>Na dan 31.12.2023. godine Nastavni zavod za javno zdravstvo Istarske županije nije koristio sredstva fondova Europske unije, nije se zaduživao na domaćem i stranom tržištu kapitala, nema danih zajmova niti potraživanja po danim zajmovima</w:t>
      </w:r>
      <w:r w:rsidR="00271465">
        <w:t>, nema nepodmirenih dospjelih</w:t>
      </w:r>
      <w:r>
        <w:t xml:space="preserve"> </w:t>
      </w:r>
      <w:r w:rsidR="00271465">
        <w:t xml:space="preserve">obveza </w:t>
      </w:r>
      <w:r>
        <w:t>kao ni potencijalne obveze po osnovi sudskih sporova.</w:t>
      </w:r>
    </w:p>
    <w:p w14:paraId="0DB647C4" w14:textId="07658115" w:rsidR="00624D45" w:rsidRDefault="00624D45" w:rsidP="00125BB6">
      <w:pPr>
        <w:tabs>
          <w:tab w:val="left" w:pos="1140"/>
        </w:tabs>
      </w:pPr>
    </w:p>
    <w:p w14:paraId="5C15C9A9" w14:textId="4AE639BA" w:rsidR="008A2709" w:rsidRDefault="008A2709" w:rsidP="00125BB6">
      <w:pPr>
        <w:tabs>
          <w:tab w:val="left" w:pos="1140"/>
        </w:tabs>
      </w:pPr>
    </w:p>
    <w:p w14:paraId="7D416C88" w14:textId="77777777" w:rsidR="008A2709" w:rsidRDefault="008A2709" w:rsidP="00125BB6">
      <w:pPr>
        <w:tabs>
          <w:tab w:val="left" w:pos="1140"/>
        </w:tabs>
      </w:pPr>
    </w:p>
    <w:p w14:paraId="064B3D68" w14:textId="08602908" w:rsidR="00624D45" w:rsidRDefault="00727A47" w:rsidP="00125BB6">
      <w:pPr>
        <w:tabs>
          <w:tab w:val="left" w:pos="1140"/>
        </w:tabs>
      </w:pPr>
      <w:r>
        <w:t>Pula, 26.03.2024.</w:t>
      </w:r>
    </w:p>
    <w:p w14:paraId="289E19F0" w14:textId="77777777" w:rsidR="00727A47" w:rsidRDefault="00727A47" w:rsidP="00125BB6">
      <w:pPr>
        <w:tabs>
          <w:tab w:val="left" w:pos="1140"/>
        </w:tabs>
      </w:pPr>
    </w:p>
    <w:p w14:paraId="7CD3FE51" w14:textId="77777777" w:rsidR="00727A47" w:rsidRDefault="00727A47" w:rsidP="00125BB6">
      <w:pPr>
        <w:tabs>
          <w:tab w:val="left" w:pos="1140"/>
        </w:tabs>
      </w:pPr>
    </w:p>
    <w:p w14:paraId="269CE7AB" w14:textId="77777777" w:rsidR="00624D45" w:rsidRDefault="00624D45" w:rsidP="00125BB6">
      <w:pPr>
        <w:tabs>
          <w:tab w:val="left" w:pos="1140"/>
        </w:tabs>
      </w:pPr>
    </w:p>
    <w:p w14:paraId="445814D0" w14:textId="02234715" w:rsidR="005862A5" w:rsidRDefault="005862A5" w:rsidP="00125BB6">
      <w:pPr>
        <w:tabs>
          <w:tab w:val="left" w:pos="1140"/>
        </w:tabs>
      </w:pPr>
    </w:p>
    <w:p w14:paraId="1E6AAA1A" w14:textId="120C95A2" w:rsidR="005862A5" w:rsidRDefault="005862A5" w:rsidP="005862A5">
      <w:pPr>
        <w:tabs>
          <w:tab w:val="left" w:pos="1140"/>
        </w:tabs>
      </w:pPr>
      <w:r>
        <w:t xml:space="preserve">        </w:t>
      </w:r>
      <w:r w:rsidR="001E4E3E">
        <w:t xml:space="preserve">     </w:t>
      </w:r>
      <w:r>
        <w:t xml:space="preserve"> </w:t>
      </w:r>
      <w:r w:rsidR="001E4E3E">
        <w:t xml:space="preserve">   </w:t>
      </w:r>
      <w:r w:rsidR="00727A47">
        <w:tab/>
      </w:r>
      <w:r w:rsidR="00727A47">
        <w:tab/>
      </w:r>
      <w:r w:rsidR="00727A47">
        <w:tab/>
      </w:r>
      <w:r w:rsidR="00727A47">
        <w:tab/>
      </w:r>
      <w:r>
        <w:t xml:space="preserve">                                   </w:t>
      </w:r>
      <w:r w:rsidR="00727A47">
        <w:t xml:space="preserve">       </w:t>
      </w:r>
      <w:r>
        <w:t xml:space="preserve">              Predsjednik Upravnog vijeća:</w:t>
      </w:r>
    </w:p>
    <w:p w14:paraId="6DF8DF97" w14:textId="5188935A" w:rsidR="005862A5" w:rsidRDefault="00727A47" w:rsidP="005862A5">
      <w:pPr>
        <w:tabs>
          <w:tab w:val="left" w:pos="1140"/>
        </w:tabs>
      </w:pPr>
      <w:r>
        <w:tab/>
      </w:r>
      <w:r>
        <w:tab/>
      </w:r>
      <w:r>
        <w:tab/>
      </w:r>
      <w:r>
        <w:tab/>
      </w:r>
      <w:r>
        <w:tab/>
      </w:r>
      <w:r>
        <w:tab/>
      </w:r>
      <w:r>
        <w:tab/>
      </w:r>
      <w:r w:rsidR="005862A5">
        <w:t xml:space="preserve">                     </w:t>
      </w:r>
      <w:r w:rsidR="001E4E3E">
        <w:t xml:space="preserve">   </w:t>
      </w:r>
      <w:r w:rsidR="005862A5">
        <w:t xml:space="preserve">  Dino Kozlevac, dipl.ing.</w:t>
      </w:r>
    </w:p>
    <w:p w14:paraId="68DCCBD7" w14:textId="07D512F0" w:rsidR="005862A5" w:rsidRDefault="005862A5" w:rsidP="005862A5">
      <w:pPr>
        <w:tabs>
          <w:tab w:val="left" w:pos="1140"/>
        </w:tabs>
      </w:pPr>
      <w:r>
        <w:t xml:space="preserve">   </w:t>
      </w:r>
      <w:r w:rsidR="001E4E3E">
        <w:t xml:space="preserve">      </w:t>
      </w:r>
      <w:r>
        <w:t xml:space="preserve">   </w:t>
      </w:r>
      <w:r w:rsidR="001E4E3E">
        <w:t xml:space="preserve">    </w:t>
      </w:r>
    </w:p>
    <w:p w14:paraId="3599556D" w14:textId="77777777" w:rsidR="00727A47" w:rsidRDefault="00727A47" w:rsidP="005862A5">
      <w:pPr>
        <w:tabs>
          <w:tab w:val="left" w:pos="1140"/>
        </w:tabs>
      </w:pPr>
    </w:p>
    <w:p w14:paraId="66D2CB64" w14:textId="77777777" w:rsidR="00727A47" w:rsidRDefault="00727A47" w:rsidP="005862A5">
      <w:pPr>
        <w:tabs>
          <w:tab w:val="left" w:pos="1140"/>
        </w:tabs>
      </w:pPr>
    </w:p>
    <w:p w14:paraId="68C1485B" w14:textId="070B5025" w:rsidR="00727A47" w:rsidRDefault="00727A47" w:rsidP="005862A5">
      <w:pPr>
        <w:tabs>
          <w:tab w:val="left" w:pos="1140"/>
        </w:tabs>
      </w:pPr>
      <w:r>
        <w:tab/>
      </w:r>
      <w:r>
        <w:tab/>
      </w:r>
      <w:r>
        <w:tab/>
      </w:r>
      <w:r>
        <w:tab/>
      </w:r>
      <w:r>
        <w:tab/>
      </w:r>
      <w:r>
        <w:tab/>
      </w:r>
      <w:r>
        <w:tab/>
      </w:r>
      <w:r>
        <w:tab/>
      </w:r>
      <w:r>
        <w:tab/>
        <w:t>______________________</w:t>
      </w:r>
    </w:p>
    <w:sectPr w:rsidR="00727A47" w:rsidSect="007B3FF8">
      <w:footerReference w:type="default" r:id="rId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075F8" w14:textId="77777777" w:rsidR="007A72DC" w:rsidRDefault="007A72DC" w:rsidP="00B62F9C">
      <w:r>
        <w:separator/>
      </w:r>
    </w:p>
  </w:endnote>
  <w:endnote w:type="continuationSeparator" w:id="0">
    <w:p w14:paraId="01954CFD" w14:textId="77777777" w:rsidR="007A72DC" w:rsidRDefault="007A72DC" w:rsidP="00B6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Helvetica-BoldOblique">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22857"/>
      <w:docPartObj>
        <w:docPartGallery w:val="Page Numbers (Bottom of Page)"/>
        <w:docPartUnique/>
      </w:docPartObj>
    </w:sdtPr>
    <w:sdtContent>
      <w:p w14:paraId="4CC8A9FF" w14:textId="17AB0BFE" w:rsidR="00942AE4" w:rsidRDefault="00942AE4">
        <w:pPr>
          <w:pStyle w:val="Footer"/>
          <w:jc w:val="right"/>
        </w:pPr>
        <w:r>
          <w:fldChar w:fldCharType="begin"/>
        </w:r>
        <w:r>
          <w:instrText>PAGE   \* MERGEFORMAT</w:instrText>
        </w:r>
        <w:r>
          <w:fldChar w:fldCharType="separate"/>
        </w:r>
        <w:r w:rsidR="00062C3C">
          <w:rPr>
            <w:noProof/>
          </w:rPr>
          <w:t>38</w:t>
        </w:r>
        <w:r>
          <w:fldChar w:fldCharType="end"/>
        </w:r>
      </w:p>
    </w:sdtContent>
  </w:sdt>
  <w:p w14:paraId="38738E40" w14:textId="77777777" w:rsidR="00942AE4" w:rsidRDefault="00942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17F90" w14:textId="77777777" w:rsidR="007A72DC" w:rsidRDefault="007A72DC" w:rsidP="00B62F9C">
      <w:r>
        <w:separator/>
      </w:r>
    </w:p>
  </w:footnote>
  <w:footnote w:type="continuationSeparator" w:id="0">
    <w:p w14:paraId="7C746340" w14:textId="77777777" w:rsidR="007A72DC" w:rsidRDefault="007A72DC" w:rsidP="00B62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33F"/>
    <w:multiLevelType w:val="hybridMultilevel"/>
    <w:tmpl w:val="A712DD34"/>
    <w:lvl w:ilvl="0" w:tplc="840A060E">
      <w:start w:val="1"/>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
    <w:nsid w:val="04C11A4D"/>
    <w:multiLevelType w:val="multilevel"/>
    <w:tmpl w:val="57AA869A"/>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6D6639C"/>
    <w:multiLevelType w:val="hybridMultilevel"/>
    <w:tmpl w:val="DB3C06FC"/>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nsid w:val="099C50A2"/>
    <w:multiLevelType w:val="hybridMultilevel"/>
    <w:tmpl w:val="F454E44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B4B65EC"/>
    <w:multiLevelType w:val="hybridMultilevel"/>
    <w:tmpl w:val="9EDCE402"/>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D773864"/>
    <w:multiLevelType w:val="hybridMultilevel"/>
    <w:tmpl w:val="4C10682C"/>
    <w:lvl w:ilvl="0" w:tplc="625841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DD552DB"/>
    <w:multiLevelType w:val="hybridMultilevel"/>
    <w:tmpl w:val="DF2E8B16"/>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E9E701B"/>
    <w:multiLevelType w:val="hybridMultilevel"/>
    <w:tmpl w:val="CD2466BC"/>
    <w:lvl w:ilvl="0" w:tplc="8E1427B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110C3BB6"/>
    <w:multiLevelType w:val="hybridMultilevel"/>
    <w:tmpl w:val="13BC929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184C5846"/>
    <w:multiLevelType w:val="hybridMultilevel"/>
    <w:tmpl w:val="966A0C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85351F5"/>
    <w:multiLevelType w:val="multilevel"/>
    <w:tmpl w:val="C7A0DEB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ascii="Arial Narrow" w:hAnsi="Arial Narrow" w:cs="Calibri" w:hint="default"/>
        <w:b w:val="0"/>
      </w:rPr>
    </w:lvl>
    <w:lvl w:ilvl="2">
      <w:start w:val="1"/>
      <w:numFmt w:val="decimal"/>
      <w:isLgl/>
      <w:lvlText w:val="%1.%2.%3."/>
      <w:lvlJc w:val="left"/>
      <w:pPr>
        <w:ind w:left="720" w:hanging="720"/>
      </w:pPr>
      <w:rPr>
        <w:rFonts w:ascii="Arial Narrow" w:hAnsi="Arial Narrow" w:cs="Calibri" w:hint="default"/>
        <w:b w:val="0"/>
      </w:rPr>
    </w:lvl>
    <w:lvl w:ilvl="3">
      <w:start w:val="1"/>
      <w:numFmt w:val="decimal"/>
      <w:isLgl/>
      <w:lvlText w:val="%1.%2.%3.%4."/>
      <w:lvlJc w:val="left"/>
      <w:pPr>
        <w:ind w:left="1080" w:hanging="1080"/>
      </w:pPr>
      <w:rPr>
        <w:rFonts w:ascii="Arial Narrow" w:hAnsi="Arial Narrow" w:cs="Calibri" w:hint="default"/>
        <w:b w:val="0"/>
      </w:rPr>
    </w:lvl>
    <w:lvl w:ilvl="4">
      <w:start w:val="1"/>
      <w:numFmt w:val="decimal"/>
      <w:isLgl/>
      <w:lvlText w:val="%1.%2.%3.%4.%5."/>
      <w:lvlJc w:val="left"/>
      <w:pPr>
        <w:ind w:left="1080" w:hanging="1080"/>
      </w:pPr>
      <w:rPr>
        <w:rFonts w:ascii="Arial Narrow" w:hAnsi="Arial Narrow" w:cs="Calibri" w:hint="default"/>
        <w:b w:val="0"/>
      </w:rPr>
    </w:lvl>
    <w:lvl w:ilvl="5">
      <w:start w:val="1"/>
      <w:numFmt w:val="decimal"/>
      <w:isLgl/>
      <w:lvlText w:val="%1.%2.%3.%4.%5.%6."/>
      <w:lvlJc w:val="left"/>
      <w:pPr>
        <w:ind w:left="1440" w:hanging="1440"/>
      </w:pPr>
      <w:rPr>
        <w:rFonts w:ascii="Arial Narrow" w:hAnsi="Arial Narrow" w:cs="Calibri" w:hint="default"/>
        <w:b w:val="0"/>
      </w:rPr>
    </w:lvl>
    <w:lvl w:ilvl="6">
      <w:start w:val="1"/>
      <w:numFmt w:val="decimal"/>
      <w:isLgl/>
      <w:lvlText w:val="%1.%2.%3.%4.%5.%6.%7."/>
      <w:lvlJc w:val="left"/>
      <w:pPr>
        <w:ind w:left="1440" w:hanging="1440"/>
      </w:pPr>
      <w:rPr>
        <w:rFonts w:ascii="Arial Narrow" w:hAnsi="Arial Narrow" w:cs="Calibri" w:hint="default"/>
        <w:b w:val="0"/>
      </w:rPr>
    </w:lvl>
    <w:lvl w:ilvl="7">
      <w:start w:val="1"/>
      <w:numFmt w:val="decimal"/>
      <w:isLgl/>
      <w:lvlText w:val="%1.%2.%3.%4.%5.%6.%7.%8."/>
      <w:lvlJc w:val="left"/>
      <w:pPr>
        <w:ind w:left="1800" w:hanging="1800"/>
      </w:pPr>
      <w:rPr>
        <w:rFonts w:ascii="Arial Narrow" w:hAnsi="Arial Narrow" w:cs="Calibri" w:hint="default"/>
        <w:b w:val="0"/>
      </w:rPr>
    </w:lvl>
    <w:lvl w:ilvl="8">
      <w:start w:val="1"/>
      <w:numFmt w:val="decimal"/>
      <w:isLgl/>
      <w:lvlText w:val="%1.%2.%3.%4.%5.%6.%7.%8.%9."/>
      <w:lvlJc w:val="left"/>
      <w:pPr>
        <w:ind w:left="1800" w:hanging="1800"/>
      </w:pPr>
      <w:rPr>
        <w:rFonts w:ascii="Arial Narrow" w:hAnsi="Arial Narrow" w:cs="Calibri" w:hint="default"/>
        <w:b w:val="0"/>
      </w:rPr>
    </w:lvl>
  </w:abstractNum>
  <w:abstractNum w:abstractNumId="11">
    <w:nsid w:val="1CD53E8A"/>
    <w:multiLevelType w:val="hybridMultilevel"/>
    <w:tmpl w:val="CBECCCD4"/>
    <w:lvl w:ilvl="0" w:tplc="B2423A08">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1CFA62AB"/>
    <w:multiLevelType w:val="hybridMultilevel"/>
    <w:tmpl w:val="02000470"/>
    <w:lvl w:ilvl="0" w:tplc="E81C2C90">
      <w:numFmt w:val="bullet"/>
      <w:lvlText w:val="-"/>
      <w:lvlJc w:val="left"/>
      <w:pPr>
        <w:ind w:left="360" w:hanging="360"/>
      </w:pPr>
      <w:rPr>
        <w:rFonts w:ascii="Cambria" w:hAnsi="Cambria" w:cs="Times New Roman" w:hint="default"/>
        <w:sz w:val="16"/>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1E3D3420"/>
    <w:multiLevelType w:val="hybridMultilevel"/>
    <w:tmpl w:val="01ACA646"/>
    <w:lvl w:ilvl="0" w:tplc="561826F2">
      <w:start w:val="1"/>
      <w:numFmt w:val="bullet"/>
      <w:lvlText w:val=""/>
      <w:lvlJc w:val="left"/>
      <w:pPr>
        <w:ind w:left="502" w:hanging="360"/>
      </w:pPr>
      <w:rPr>
        <w:rFonts w:ascii="Wingdings" w:hAnsi="Wingdings" w:hint="default"/>
        <w:color w:val="auto"/>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4">
    <w:nsid w:val="1F4B4742"/>
    <w:multiLevelType w:val="multilevel"/>
    <w:tmpl w:val="91061D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1D10BD7"/>
    <w:multiLevelType w:val="multilevel"/>
    <w:tmpl w:val="9BAEF6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5253B3A"/>
    <w:multiLevelType w:val="hybridMultilevel"/>
    <w:tmpl w:val="2F46DCDC"/>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nsid w:val="28045A8A"/>
    <w:multiLevelType w:val="hybridMultilevel"/>
    <w:tmpl w:val="42D2BF6A"/>
    <w:lvl w:ilvl="0" w:tplc="C994DA12">
      <w:start w:val="1"/>
      <w:numFmt w:val="decimal"/>
      <w:lvlText w:val="%1."/>
      <w:lvlJc w:val="left"/>
      <w:pPr>
        <w:ind w:left="1500" w:hanging="360"/>
      </w:pPr>
      <w:rPr>
        <w:rFonts w:ascii="Times New Roman" w:eastAsia="Times New Roman" w:hAnsi="Times New Roman" w:cs="Times New Roman"/>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18">
    <w:nsid w:val="33F16A91"/>
    <w:multiLevelType w:val="hybridMultilevel"/>
    <w:tmpl w:val="498E5872"/>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nsid w:val="3F5D109F"/>
    <w:multiLevelType w:val="hybridMultilevel"/>
    <w:tmpl w:val="C9729702"/>
    <w:lvl w:ilvl="0" w:tplc="625841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1370E3C"/>
    <w:multiLevelType w:val="hybridMultilevel"/>
    <w:tmpl w:val="A4501470"/>
    <w:lvl w:ilvl="0" w:tplc="041A000F">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41DE2299"/>
    <w:multiLevelType w:val="hybridMultilevel"/>
    <w:tmpl w:val="241A4290"/>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AC94AA2"/>
    <w:multiLevelType w:val="hybridMultilevel"/>
    <w:tmpl w:val="F5FA35B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nsid w:val="4C0174AD"/>
    <w:multiLevelType w:val="hybridMultilevel"/>
    <w:tmpl w:val="AFAC06E8"/>
    <w:lvl w:ilvl="0" w:tplc="9DCE823C">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51207468"/>
    <w:multiLevelType w:val="hybridMultilevel"/>
    <w:tmpl w:val="40FA22B2"/>
    <w:lvl w:ilvl="0" w:tplc="8138C4E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1B60325"/>
    <w:multiLevelType w:val="hybridMultilevel"/>
    <w:tmpl w:val="2D546568"/>
    <w:lvl w:ilvl="0" w:tplc="0726914C">
      <w:start w:val="1"/>
      <w:numFmt w:val="bullet"/>
      <w:lvlText w:val=""/>
      <w:lvlJc w:val="left"/>
      <w:pPr>
        <w:ind w:left="360" w:hanging="360"/>
      </w:pPr>
      <w:rPr>
        <w:rFonts w:ascii="Wingdings" w:hAnsi="Wingdings" w:hint="default"/>
        <w:kern w:val="0"/>
        <w:sz w:val="22"/>
        <w14:cntxtAlts w14: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nsid w:val="52B35C70"/>
    <w:multiLevelType w:val="multilevel"/>
    <w:tmpl w:val="F7AE89BA"/>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536C102C"/>
    <w:multiLevelType w:val="hybridMultilevel"/>
    <w:tmpl w:val="202ED178"/>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4EE76C7"/>
    <w:multiLevelType w:val="hybridMultilevel"/>
    <w:tmpl w:val="6C2C3B7A"/>
    <w:lvl w:ilvl="0" w:tplc="63B240EE">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9">
    <w:nsid w:val="551C4EE7"/>
    <w:multiLevelType w:val="hybridMultilevel"/>
    <w:tmpl w:val="26247C96"/>
    <w:lvl w:ilvl="0" w:tplc="9912EB5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nsid w:val="592771C9"/>
    <w:multiLevelType w:val="hybridMultilevel"/>
    <w:tmpl w:val="D8BE7CEC"/>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0253373"/>
    <w:multiLevelType w:val="hybridMultilevel"/>
    <w:tmpl w:val="FC98E5F4"/>
    <w:lvl w:ilvl="0" w:tplc="A6BC0778">
      <w:numFmt w:val="bullet"/>
      <w:lvlText w:val=""/>
      <w:lvlJc w:val="left"/>
      <w:pPr>
        <w:ind w:left="720" w:hanging="360"/>
      </w:pPr>
      <w:rPr>
        <w:rFonts w:ascii="Symbol" w:eastAsiaTheme="minorHAnsi" w:hAnsi="Symbol" w:cs="Arial" w:hint="default"/>
        <w:b/>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10950BB"/>
    <w:multiLevelType w:val="hybridMultilevel"/>
    <w:tmpl w:val="ED86F0A2"/>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21E5828"/>
    <w:multiLevelType w:val="hybridMultilevel"/>
    <w:tmpl w:val="14AECD3A"/>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nsid w:val="63475A06"/>
    <w:multiLevelType w:val="hybridMultilevel"/>
    <w:tmpl w:val="17568914"/>
    <w:lvl w:ilvl="0" w:tplc="B39E535A">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nsid w:val="69AB126E"/>
    <w:multiLevelType w:val="hybridMultilevel"/>
    <w:tmpl w:val="89445A2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nsid w:val="69C567DC"/>
    <w:multiLevelType w:val="hybridMultilevel"/>
    <w:tmpl w:val="D1FC5DC2"/>
    <w:lvl w:ilvl="0" w:tplc="2AA2DF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DB64135"/>
    <w:multiLevelType w:val="hybridMultilevel"/>
    <w:tmpl w:val="AD5E719C"/>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0483A20"/>
    <w:multiLevelType w:val="hybridMultilevel"/>
    <w:tmpl w:val="26A8505A"/>
    <w:lvl w:ilvl="0" w:tplc="7B6EC21A">
      <w:start w:val="1"/>
      <w:numFmt w:val="bullet"/>
      <w:lvlText w:val="w"/>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35716D4"/>
    <w:multiLevelType w:val="hybridMultilevel"/>
    <w:tmpl w:val="C010CE22"/>
    <w:lvl w:ilvl="0" w:tplc="0EA66F98">
      <w:start w:val="1"/>
      <w:numFmt w:val="bullet"/>
      <w:lvlText w:val="-"/>
      <w:lvlJc w:val="left"/>
      <w:pPr>
        <w:ind w:left="643" w:hanging="360"/>
      </w:pPr>
      <w:rPr>
        <w:rFonts w:ascii="Arial" w:eastAsia="Times New Roman" w:hAnsi="Arial" w:cs="Arial"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40">
    <w:nsid w:val="7511667E"/>
    <w:multiLevelType w:val="hybridMultilevel"/>
    <w:tmpl w:val="DCCC38C2"/>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51F7814"/>
    <w:multiLevelType w:val="hybridMultilevel"/>
    <w:tmpl w:val="A6163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4"/>
  </w:num>
  <w:num w:numId="4">
    <w:abstractNumId w:val="36"/>
  </w:num>
  <w:num w:numId="5">
    <w:abstractNumId w:val="15"/>
  </w:num>
  <w:num w:numId="6">
    <w:abstractNumId w:val="16"/>
  </w:num>
  <w:num w:numId="7">
    <w:abstractNumId w:val="3"/>
  </w:num>
  <w:num w:numId="8">
    <w:abstractNumId w:val="13"/>
  </w:num>
  <w:num w:numId="9">
    <w:abstractNumId w:val="2"/>
  </w:num>
  <w:num w:numId="10">
    <w:abstractNumId w:val="23"/>
  </w:num>
  <w:num w:numId="11">
    <w:abstractNumId w:val="20"/>
  </w:num>
  <w:num w:numId="12">
    <w:abstractNumId w:val="26"/>
  </w:num>
  <w:num w:numId="13">
    <w:abstractNumId w:val="22"/>
  </w:num>
  <w:num w:numId="14">
    <w:abstractNumId w:val="1"/>
  </w:num>
  <w:num w:numId="15">
    <w:abstractNumId w:val="11"/>
  </w:num>
  <w:num w:numId="16">
    <w:abstractNumId w:val="8"/>
  </w:num>
  <w:num w:numId="17">
    <w:abstractNumId w:val="35"/>
  </w:num>
  <w:num w:numId="18">
    <w:abstractNumId w:val="12"/>
  </w:num>
  <w:num w:numId="19">
    <w:abstractNumId w:val="9"/>
  </w:num>
  <w:num w:numId="20">
    <w:abstractNumId w:val="33"/>
  </w:num>
  <w:num w:numId="21">
    <w:abstractNumId w:val="14"/>
  </w:num>
  <w:num w:numId="22">
    <w:abstractNumId w:val="31"/>
  </w:num>
  <w:num w:numId="23">
    <w:abstractNumId w:val="38"/>
  </w:num>
  <w:num w:numId="24">
    <w:abstractNumId w:val="28"/>
  </w:num>
  <w:num w:numId="25">
    <w:abstractNumId w:val="34"/>
  </w:num>
  <w:num w:numId="26">
    <w:abstractNumId w:val="25"/>
  </w:num>
  <w:num w:numId="27">
    <w:abstractNumId w:val="10"/>
  </w:num>
  <w:num w:numId="28">
    <w:abstractNumId w:val="40"/>
  </w:num>
  <w:num w:numId="29">
    <w:abstractNumId w:val="39"/>
  </w:num>
  <w:num w:numId="30">
    <w:abstractNumId w:val="32"/>
  </w:num>
  <w:num w:numId="31">
    <w:abstractNumId w:val="37"/>
  </w:num>
  <w:num w:numId="32">
    <w:abstractNumId w:val="27"/>
  </w:num>
  <w:num w:numId="33">
    <w:abstractNumId w:val="6"/>
  </w:num>
  <w:num w:numId="34">
    <w:abstractNumId w:val="30"/>
  </w:num>
  <w:num w:numId="35">
    <w:abstractNumId w:val="4"/>
  </w:num>
  <w:num w:numId="36">
    <w:abstractNumId w:val="21"/>
  </w:num>
  <w:num w:numId="37">
    <w:abstractNumId w:val="18"/>
  </w:num>
  <w:num w:numId="38">
    <w:abstractNumId w:val="19"/>
  </w:num>
  <w:num w:numId="39">
    <w:abstractNumId w:val="5"/>
  </w:num>
  <w:num w:numId="40">
    <w:abstractNumId w:val="41"/>
  </w:num>
  <w:num w:numId="41">
    <w:abstractNumId w:val="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90"/>
    <w:rsid w:val="000004AD"/>
    <w:rsid w:val="00002E1D"/>
    <w:rsid w:val="0000434B"/>
    <w:rsid w:val="000055C5"/>
    <w:rsid w:val="00006079"/>
    <w:rsid w:val="00013369"/>
    <w:rsid w:val="000157DD"/>
    <w:rsid w:val="0003423A"/>
    <w:rsid w:val="00040601"/>
    <w:rsid w:val="00047D74"/>
    <w:rsid w:val="000517EA"/>
    <w:rsid w:val="000577D6"/>
    <w:rsid w:val="00060128"/>
    <w:rsid w:val="00062C3C"/>
    <w:rsid w:val="00074A4D"/>
    <w:rsid w:val="00080209"/>
    <w:rsid w:val="00087D34"/>
    <w:rsid w:val="00087EAC"/>
    <w:rsid w:val="000A46FA"/>
    <w:rsid w:val="000B6066"/>
    <w:rsid w:val="000B7339"/>
    <w:rsid w:val="000D1781"/>
    <w:rsid w:val="000E330E"/>
    <w:rsid w:val="000F5413"/>
    <w:rsid w:val="001051A0"/>
    <w:rsid w:val="00114FE7"/>
    <w:rsid w:val="00115CB6"/>
    <w:rsid w:val="00125BB6"/>
    <w:rsid w:val="00132671"/>
    <w:rsid w:val="00132884"/>
    <w:rsid w:val="00134E68"/>
    <w:rsid w:val="00136DF7"/>
    <w:rsid w:val="00140A51"/>
    <w:rsid w:val="001432CB"/>
    <w:rsid w:val="00163018"/>
    <w:rsid w:val="00171217"/>
    <w:rsid w:val="00191A5B"/>
    <w:rsid w:val="001A2E60"/>
    <w:rsid w:val="001B06BF"/>
    <w:rsid w:val="001D1B70"/>
    <w:rsid w:val="001D28DD"/>
    <w:rsid w:val="001D2CAC"/>
    <w:rsid w:val="001E1BE0"/>
    <w:rsid w:val="001E1EFA"/>
    <w:rsid w:val="001E4E3E"/>
    <w:rsid w:val="001F58A9"/>
    <w:rsid w:val="00210EEF"/>
    <w:rsid w:val="00217661"/>
    <w:rsid w:val="0022778E"/>
    <w:rsid w:val="002678A2"/>
    <w:rsid w:val="00271465"/>
    <w:rsid w:val="00292409"/>
    <w:rsid w:val="002C6F9E"/>
    <w:rsid w:val="002D0D31"/>
    <w:rsid w:val="00304782"/>
    <w:rsid w:val="00317472"/>
    <w:rsid w:val="00323247"/>
    <w:rsid w:val="00330907"/>
    <w:rsid w:val="0036212E"/>
    <w:rsid w:val="003A0824"/>
    <w:rsid w:val="003A29F6"/>
    <w:rsid w:val="003B0533"/>
    <w:rsid w:val="003C6FB8"/>
    <w:rsid w:val="003D40CD"/>
    <w:rsid w:val="003F0FA8"/>
    <w:rsid w:val="00417B34"/>
    <w:rsid w:val="0043068E"/>
    <w:rsid w:val="00440EEC"/>
    <w:rsid w:val="004544FF"/>
    <w:rsid w:val="004558A1"/>
    <w:rsid w:val="004771AF"/>
    <w:rsid w:val="00483060"/>
    <w:rsid w:val="00486846"/>
    <w:rsid w:val="00490170"/>
    <w:rsid w:val="004A145F"/>
    <w:rsid w:val="004B01B8"/>
    <w:rsid w:val="004B5E13"/>
    <w:rsid w:val="00506953"/>
    <w:rsid w:val="005149DA"/>
    <w:rsid w:val="00520AAD"/>
    <w:rsid w:val="00523E00"/>
    <w:rsid w:val="0054191D"/>
    <w:rsid w:val="00542976"/>
    <w:rsid w:val="005636B8"/>
    <w:rsid w:val="0058380B"/>
    <w:rsid w:val="00584D06"/>
    <w:rsid w:val="005862A5"/>
    <w:rsid w:val="00587CC4"/>
    <w:rsid w:val="005B15F5"/>
    <w:rsid w:val="005E11DC"/>
    <w:rsid w:val="005E3757"/>
    <w:rsid w:val="00607FB4"/>
    <w:rsid w:val="00615C30"/>
    <w:rsid w:val="00624D45"/>
    <w:rsid w:val="00630DAA"/>
    <w:rsid w:val="006342E1"/>
    <w:rsid w:val="00654867"/>
    <w:rsid w:val="00681D99"/>
    <w:rsid w:val="0069317E"/>
    <w:rsid w:val="006A2F1A"/>
    <w:rsid w:val="006A665F"/>
    <w:rsid w:val="006B3347"/>
    <w:rsid w:val="006B5E10"/>
    <w:rsid w:val="006D196C"/>
    <w:rsid w:val="006E2354"/>
    <w:rsid w:val="006E26C4"/>
    <w:rsid w:val="006F1536"/>
    <w:rsid w:val="006F3594"/>
    <w:rsid w:val="007007CE"/>
    <w:rsid w:val="00710311"/>
    <w:rsid w:val="007241FD"/>
    <w:rsid w:val="00727A47"/>
    <w:rsid w:val="007341CC"/>
    <w:rsid w:val="00751F8E"/>
    <w:rsid w:val="007536B1"/>
    <w:rsid w:val="00765564"/>
    <w:rsid w:val="00765CC5"/>
    <w:rsid w:val="007740B2"/>
    <w:rsid w:val="007828B0"/>
    <w:rsid w:val="00786AC9"/>
    <w:rsid w:val="00796C59"/>
    <w:rsid w:val="007A6506"/>
    <w:rsid w:val="007A72DC"/>
    <w:rsid w:val="007B36E5"/>
    <w:rsid w:val="007B3FF8"/>
    <w:rsid w:val="007B5AFD"/>
    <w:rsid w:val="007C3562"/>
    <w:rsid w:val="007D0A45"/>
    <w:rsid w:val="007E530D"/>
    <w:rsid w:val="007F45E7"/>
    <w:rsid w:val="00801127"/>
    <w:rsid w:val="0082264C"/>
    <w:rsid w:val="008274F8"/>
    <w:rsid w:val="00831FF1"/>
    <w:rsid w:val="008370E4"/>
    <w:rsid w:val="008418D2"/>
    <w:rsid w:val="0084231F"/>
    <w:rsid w:val="008533B8"/>
    <w:rsid w:val="0085445A"/>
    <w:rsid w:val="00857DB3"/>
    <w:rsid w:val="00871187"/>
    <w:rsid w:val="008711B4"/>
    <w:rsid w:val="00874125"/>
    <w:rsid w:val="0088623E"/>
    <w:rsid w:val="0089360C"/>
    <w:rsid w:val="008A2709"/>
    <w:rsid w:val="008B2874"/>
    <w:rsid w:val="008C1230"/>
    <w:rsid w:val="008D4606"/>
    <w:rsid w:val="008F08A9"/>
    <w:rsid w:val="0090536D"/>
    <w:rsid w:val="009249CA"/>
    <w:rsid w:val="0093414B"/>
    <w:rsid w:val="00942AE4"/>
    <w:rsid w:val="00947355"/>
    <w:rsid w:val="00952261"/>
    <w:rsid w:val="00960D46"/>
    <w:rsid w:val="00977BAF"/>
    <w:rsid w:val="009843EF"/>
    <w:rsid w:val="009A57B8"/>
    <w:rsid w:val="009B52A6"/>
    <w:rsid w:val="009B6C92"/>
    <w:rsid w:val="009C01D6"/>
    <w:rsid w:val="009C5C6D"/>
    <w:rsid w:val="009C65D7"/>
    <w:rsid w:val="009D1846"/>
    <w:rsid w:val="009D5C5D"/>
    <w:rsid w:val="009F145D"/>
    <w:rsid w:val="00A05ED0"/>
    <w:rsid w:val="00A12819"/>
    <w:rsid w:val="00A249F1"/>
    <w:rsid w:val="00A42391"/>
    <w:rsid w:val="00A434D4"/>
    <w:rsid w:val="00A83C99"/>
    <w:rsid w:val="00A84FBD"/>
    <w:rsid w:val="00A91EA9"/>
    <w:rsid w:val="00AA0281"/>
    <w:rsid w:val="00AB0272"/>
    <w:rsid w:val="00AB5547"/>
    <w:rsid w:val="00AC20FA"/>
    <w:rsid w:val="00AC7406"/>
    <w:rsid w:val="00AE0718"/>
    <w:rsid w:val="00AE169E"/>
    <w:rsid w:val="00AE5962"/>
    <w:rsid w:val="00B00028"/>
    <w:rsid w:val="00B0072A"/>
    <w:rsid w:val="00B02BF7"/>
    <w:rsid w:val="00B02EA0"/>
    <w:rsid w:val="00B14DA6"/>
    <w:rsid w:val="00B21B13"/>
    <w:rsid w:val="00B22C23"/>
    <w:rsid w:val="00B23772"/>
    <w:rsid w:val="00B27097"/>
    <w:rsid w:val="00B341AA"/>
    <w:rsid w:val="00B573BC"/>
    <w:rsid w:val="00B62429"/>
    <w:rsid w:val="00B62F9C"/>
    <w:rsid w:val="00B64696"/>
    <w:rsid w:val="00B83203"/>
    <w:rsid w:val="00B83233"/>
    <w:rsid w:val="00BA1B22"/>
    <w:rsid w:val="00BA2AEF"/>
    <w:rsid w:val="00BB63AA"/>
    <w:rsid w:val="00BD7262"/>
    <w:rsid w:val="00BE17FF"/>
    <w:rsid w:val="00BE4617"/>
    <w:rsid w:val="00BF7971"/>
    <w:rsid w:val="00C011B0"/>
    <w:rsid w:val="00C016B4"/>
    <w:rsid w:val="00C03FA9"/>
    <w:rsid w:val="00C15232"/>
    <w:rsid w:val="00C36AE5"/>
    <w:rsid w:val="00C52F88"/>
    <w:rsid w:val="00C53E61"/>
    <w:rsid w:val="00C605A7"/>
    <w:rsid w:val="00C653B4"/>
    <w:rsid w:val="00C81265"/>
    <w:rsid w:val="00C8259E"/>
    <w:rsid w:val="00C938DD"/>
    <w:rsid w:val="00C94598"/>
    <w:rsid w:val="00CA5B1D"/>
    <w:rsid w:val="00CD5DAD"/>
    <w:rsid w:val="00CE1409"/>
    <w:rsid w:val="00CE4102"/>
    <w:rsid w:val="00D0395D"/>
    <w:rsid w:val="00D05A2A"/>
    <w:rsid w:val="00D14349"/>
    <w:rsid w:val="00D200AC"/>
    <w:rsid w:val="00D276A1"/>
    <w:rsid w:val="00D37CD8"/>
    <w:rsid w:val="00D53D71"/>
    <w:rsid w:val="00D56808"/>
    <w:rsid w:val="00D7753D"/>
    <w:rsid w:val="00D877B6"/>
    <w:rsid w:val="00D90C72"/>
    <w:rsid w:val="00DC300D"/>
    <w:rsid w:val="00DD72C8"/>
    <w:rsid w:val="00DE2C2E"/>
    <w:rsid w:val="00DF317A"/>
    <w:rsid w:val="00DF41F8"/>
    <w:rsid w:val="00E01431"/>
    <w:rsid w:val="00E40F5E"/>
    <w:rsid w:val="00E47301"/>
    <w:rsid w:val="00E55BCF"/>
    <w:rsid w:val="00E57B29"/>
    <w:rsid w:val="00E91435"/>
    <w:rsid w:val="00E93AD5"/>
    <w:rsid w:val="00EB0412"/>
    <w:rsid w:val="00EB2129"/>
    <w:rsid w:val="00EC19AB"/>
    <w:rsid w:val="00EC55C4"/>
    <w:rsid w:val="00ED43CE"/>
    <w:rsid w:val="00EE751C"/>
    <w:rsid w:val="00F037BE"/>
    <w:rsid w:val="00F15D9E"/>
    <w:rsid w:val="00F31822"/>
    <w:rsid w:val="00F339CE"/>
    <w:rsid w:val="00F41FBA"/>
    <w:rsid w:val="00F42BD1"/>
    <w:rsid w:val="00F46AF9"/>
    <w:rsid w:val="00F73651"/>
    <w:rsid w:val="00F74977"/>
    <w:rsid w:val="00F83967"/>
    <w:rsid w:val="00FA5B28"/>
    <w:rsid w:val="00FA65BE"/>
    <w:rsid w:val="00FB29BC"/>
    <w:rsid w:val="00FB6A65"/>
    <w:rsid w:val="00FC6D90"/>
    <w:rsid w:val="00FF72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95D"/>
    <w:pPr>
      <w:ind w:left="720"/>
      <w:contextualSpacing/>
    </w:pPr>
  </w:style>
  <w:style w:type="paragraph" w:styleId="Header">
    <w:name w:val="header"/>
    <w:basedOn w:val="Normal"/>
    <w:link w:val="HeaderChar"/>
    <w:uiPriority w:val="99"/>
    <w:unhideWhenUsed/>
    <w:rsid w:val="00B62F9C"/>
    <w:pPr>
      <w:tabs>
        <w:tab w:val="center" w:pos="4536"/>
        <w:tab w:val="right" w:pos="9072"/>
      </w:tabs>
    </w:pPr>
  </w:style>
  <w:style w:type="character" w:customStyle="1" w:styleId="HeaderChar">
    <w:name w:val="Header Char"/>
    <w:basedOn w:val="DefaultParagraphFont"/>
    <w:link w:val="Header"/>
    <w:uiPriority w:val="99"/>
    <w:rsid w:val="00B62F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2F9C"/>
    <w:pPr>
      <w:tabs>
        <w:tab w:val="center" w:pos="4536"/>
        <w:tab w:val="right" w:pos="9072"/>
      </w:tabs>
    </w:pPr>
  </w:style>
  <w:style w:type="character" w:customStyle="1" w:styleId="FooterChar">
    <w:name w:val="Footer Char"/>
    <w:basedOn w:val="DefaultParagraphFont"/>
    <w:link w:val="Footer"/>
    <w:uiPriority w:val="99"/>
    <w:rsid w:val="00B62F9C"/>
    <w:rPr>
      <w:rFonts w:ascii="Times New Roman" w:eastAsia="Times New Roman" w:hAnsi="Times New Roman" w:cs="Times New Roman"/>
      <w:sz w:val="24"/>
      <w:szCs w:val="24"/>
    </w:rPr>
  </w:style>
  <w:style w:type="paragraph" w:styleId="NoSpacing">
    <w:name w:val="No Spacing"/>
    <w:uiPriority w:val="1"/>
    <w:qFormat/>
    <w:rsid w:val="00520AAD"/>
    <w:pPr>
      <w:spacing w:after="0" w:line="240" w:lineRule="auto"/>
    </w:pPr>
    <w:rPr>
      <w:rFonts w:ascii="Times New Roman" w:eastAsia="Times New Roman" w:hAnsi="Times New Roman" w:cs="Times New Roman"/>
      <w:noProof/>
      <w:sz w:val="24"/>
      <w:szCs w:val="20"/>
      <w:lang w:eastAsia="hr-HR"/>
    </w:rPr>
  </w:style>
  <w:style w:type="paragraph" w:styleId="BodyText">
    <w:name w:val="Body Text"/>
    <w:basedOn w:val="Normal"/>
    <w:link w:val="BodyTextChar"/>
    <w:uiPriority w:val="99"/>
    <w:unhideWhenUsed/>
    <w:rsid w:val="00520AAD"/>
    <w:pPr>
      <w:spacing w:after="120"/>
    </w:pPr>
    <w:rPr>
      <w:szCs w:val="20"/>
      <w:lang w:eastAsia="hr-HR"/>
    </w:rPr>
  </w:style>
  <w:style w:type="character" w:customStyle="1" w:styleId="BodyTextChar">
    <w:name w:val="Body Text Char"/>
    <w:basedOn w:val="DefaultParagraphFont"/>
    <w:link w:val="BodyText"/>
    <w:uiPriority w:val="99"/>
    <w:rsid w:val="00520AAD"/>
    <w:rPr>
      <w:rFonts w:ascii="Times New Roman" w:eastAsia="Times New Roman" w:hAnsi="Times New Roman" w:cs="Times New Roman"/>
      <w:sz w:val="24"/>
      <w:szCs w:val="20"/>
      <w:lang w:eastAsia="hr-HR"/>
    </w:rPr>
  </w:style>
  <w:style w:type="paragraph" w:styleId="NormalWeb">
    <w:name w:val="Normal (Web)"/>
    <w:basedOn w:val="Normal"/>
    <w:uiPriority w:val="99"/>
    <w:unhideWhenUsed/>
    <w:rsid w:val="00520AAD"/>
    <w:pPr>
      <w:spacing w:after="150"/>
    </w:pPr>
    <w:rPr>
      <w:lang w:eastAsia="hr-HR"/>
    </w:rPr>
  </w:style>
  <w:style w:type="paragraph" w:customStyle="1" w:styleId="Default">
    <w:name w:val="Default"/>
    <w:rsid w:val="00520AAD"/>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BodyTextIndent">
    <w:name w:val="Body Text Indent"/>
    <w:basedOn w:val="Normal"/>
    <w:link w:val="BodyTextIndentChar"/>
    <w:unhideWhenUsed/>
    <w:rsid w:val="00520AAD"/>
    <w:pPr>
      <w:spacing w:after="120"/>
      <w:ind w:left="283"/>
      <w:jc w:val="both"/>
    </w:pPr>
    <w:rPr>
      <w:rFonts w:ascii="Arial" w:hAnsi="Arial"/>
      <w:sz w:val="22"/>
      <w:szCs w:val="20"/>
    </w:rPr>
  </w:style>
  <w:style w:type="character" w:customStyle="1" w:styleId="BodyTextIndentChar">
    <w:name w:val="Body Text Indent Char"/>
    <w:basedOn w:val="DefaultParagraphFont"/>
    <w:link w:val="BodyTextIndent"/>
    <w:rsid w:val="00520AAD"/>
    <w:rPr>
      <w:rFonts w:ascii="Arial" w:eastAsia="Times New Roman" w:hAnsi="Arial" w:cs="Times New Roman"/>
      <w:szCs w:val="20"/>
    </w:rPr>
  </w:style>
  <w:style w:type="numbering" w:customStyle="1" w:styleId="Bezpopisa1">
    <w:name w:val="Bez popisa1"/>
    <w:next w:val="NoList"/>
    <w:uiPriority w:val="99"/>
    <w:semiHidden/>
    <w:unhideWhenUsed/>
    <w:rsid w:val="00CE4102"/>
  </w:style>
  <w:style w:type="character" w:styleId="Strong">
    <w:name w:val="Strong"/>
    <w:uiPriority w:val="99"/>
    <w:qFormat/>
    <w:rsid w:val="00CE4102"/>
    <w:rPr>
      <w:b/>
      <w:bCs/>
    </w:rPr>
  </w:style>
  <w:style w:type="table" w:customStyle="1" w:styleId="TableGrid1">
    <w:name w:val="Table Grid1"/>
    <w:basedOn w:val="TableNormal"/>
    <w:next w:val="TableGrid"/>
    <w:uiPriority w:val="39"/>
    <w:rsid w:val="00506953"/>
    <w:pPr>
      <w:spacing w:after="0" w:line="240" w:lineRule="auto"/>
    </w:pPr>
    <w:rPr>
      <w:rFonts w:eastAsia="Times New Roman" w:cs="Times New Roman"/>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06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281"/>
    <w:rPr>
      <w:color w:val="0563C1" w:themeColor="hyperlink"/>
      <w:u w:val="single"/>
    </w:rPr>
  </w:style>
  <w:style w:type="character" w:customStyle="1" w:styleId="UnresolvedMention">
    <w:name w:val="Unresolved Mention"/>
    <w:basedOn w:val="DefaultParagraphFont"/>
    <w:uiPriority w:val="99"/>
    <w:semiHidden/>
    <w:unhideWhenUsed/>
    <w:rsid w:val="00AA0281"/>
    <w:rPr>
      <w:color w:val="605E5C"/>
      <w:shd w:val="clear" w:color="auto" w:fill="E1DFDD"/>
    </w:rPr>
  </w:style>
  <w:style w:type="paragraph" w:styleId="BalloonText">
    <w:name w:val="Balloon Text"/>
    <w:basedOn w:val="Normal"/>
    <w:link w:val="BalloonTextChar"/>
    <w:uiPriority w:val="99"/>
    <w:semiHidden/>
    <w:unhideWhenUsed/>
    <w:rsid w:val="00942AE4"/>
    <w:rPr>
      <w:rFonts w:ascii="Tahoma" w:hAnsi="Tahoma" w:cs="Tahoma"/>
      <w:sz w:val="16"/>
      <w:szCs w:val="16"/>
    </w:rPr>
  </w:style>
  <w:style w:type="character" w:customStyle="1" w:styleId="BalloonTextChar">
    <w:name w:val="Balloon Text Char"/>
    <w:basedOn w:val="DefaultParagraphFont"/>
    <w:link w:val="BalloonText"/>
    <w:uiPriority w:val="99"/>
    <w:semiHidden/>
    <w:rsid w:val="00942A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95D"/>
    <w:pPr>
      <w:ind w:left="720"/>
      <w:contextualSpacing/>
    </w:pPr>
  </w:style>
  <w:style w:type="paragraph" w:styleId="Header">
    <w:name w:val="header"/>
    <w:basedOn w:val="Normal"/>
    <w:link w:val="HeaderChar"/>
    <w:uiPriority w:val="99"/>
    <w:unhideWhenUsed/>
    <w:rsid w:val="00B62F9C"/>
    <w:pPr>
      <w:tabs>
        <w:tab w:val="center" w:pos="4536"/>
        <w:tab w:val="right" w:pos="9072"/>
      </w:tabs>
    </w:pPr>
  </w:style>
  <w:style w:type="character" w:customStyle="1" w:styleId="HeaderChar">
    <w:name w:val="Header Char"/>
    <w:basedOn w:val="DefaultParagraphFont"/>
    <w:link w:val="Header"/>
    <w:uiPriority w:val="99"/>
    <w:rsid w:val="00B62F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2F9C"/>
    <w:pPr>
      <w:tabs>
        <w:tab w:val="center" w:pos="4536"/>
        <w:tab w:val="right" w:pos="9072"/>
      </w:tabs>
    </w:pPr>
  </w:style>
  <w:style w:type="character" w:customStyle="1" w:styleId="FooterChar">
    <w:name w:val="Footer Char"/>
    <w:basedOn w:val="DefaultParagraphFont"/>
    <w:link w:val="Footer"/>
    <w:uiPriority w:val="99"/>
    <w:rsid w:val="00B62F9C"/>
    <w:rPr>
      <w:rFonts w:ascii="Times New Roman" w:eastAsia="Times New Roman" w:hAnsi="Times New Roman" w:cs="Times New Roman"/>
      <w:sz w:val="24"/>
      <w:szCs w:val="24"/>
    </w:rPr>
  </w:style>
  <w:style w:type="paragraph" w:styleId="NoSpacing">
    <w:name w:val="No Spacing"/>
    <w:uiPriority w:val="1"/>
    <w:qFormat/>
    <w:rsid w:val="00520AAD"/>
    <w:pPr>
      <w:spacing w:after="0" w:line="240" w:lineRule="auto"/>
    </w:pPr>
    <w:rPr>
      <w:rFonts w:ascii="Times New Roman" w:eastAsia="Times New Roman" w:hAnsi="Times New Roman" w:cs="Times New Roman"/>
      <w:noProof/>
      <w:sz w:val="24"/>
      <w:szCs w:val="20"/>
      <w:lang w:eastAsia="hr-HR"/>
    </w:rPr>
  </w:style>
  <w:style w:type="paragraph" w:styleId="BodyText">
    <w:name w:val="Body Text"/>
    <w:basedOn w:val="Normal"/>
    <w:link w:val="BodyTextChar"/>
    <w:uiPriority w:val="99"/>
    <w:unhideWhenUsed/>
    <w:rsid w:val="00520AAD"/>
    <w:pPr>
      <w:spacing w:after="120"/>
    </w:pPr>
    <w:rPr>
      <w:szCs w:val="20"/>
      <w:lang w:eastAsia="hr-HR"/>
    </w:rPr>
  </w:style>
  <w:style w:type="character" w:customStyle="1" w:styleId="BodyTextChar">
    <w:name w:val="Body Text Char"/>
    <w:basedOn w:val="DefaultParagraphFont"/>
    <w:link w:val="BodyText"/>
    <w:uiPriority w:val="99"/>
    <w:rsid w:val="00520AAD"/>
    <w:rPr>
      <w:rFonts w:ascii="Times New Roman" w:eastAsia="Times New Roman" w:hAnsi="Times New Roman" w:cs="Times New Roman"/>
      <w:sz w:val="24"/>
      <w:szCs w:val="20"/>
      <w:lang w:eastAsia="hr-HR"/>
    </w:rPr>
  </w:style>
  <w:style w:type="paragraph" w:styleId="NormalWeb">
    <w:name w:val="Normal (Web)"/>
    <w:basedOn w:val="Normal"/>
    <w:uiPriority w:val="99"/>
    <w:unhideWhenUsed/>
    <w:rsid w:val="00520AAD"/>
    <w:pPr>
      <w:spacing w:after="150"/>
    </w:pPr>
    <w:rPr>
      <w:lang w:eastAsia="hr-HR"/>
    </w:rPr>
  </w:style>
  <w:style w:type="paragraph" w:customStyle="1" w:styleId="Default">
    <w:name w:val="Default"/>
    <w:rsid w:val="00520AAD"/>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BodyTextIndent">
    <w:name w:val="Body Text Indent"/>
    <w:basedOn w:val="Normal"/>
    <w:link w:val="BodyTextIndentChar"/>
    <w:unhideWhenUsed/>
    <w:rsid w:val="00520AAD"/>
    <w:pPr>
      <w:spacing w:after="120"/>
      <w:ind w:left="283"/>
      <w:jc w:val="both"/>
    </w:pPr>
    <w:rPr>
      <w:rFonts w:ascii="Arial" w:hAnsi="Arial"/>
      <w:sz w:val="22"/>
      <w:szCs w:val="20"/>
    </w:rPr>
  </w:style>
  <w:style w:type="character" w:customStyle="1" w:styleId="BodyTextIndentChar">
    <w:name w:val="Body Text Indent Char"/>
    <w:basedOn w:val="DefaultParagraphFont"/>
    <w:link w:val="BodyTextIndent"/>
    <w:rsid w:val="00520AAD"/>
    <w:rPr>
      <w:rFonts w:ascii="Arial" w:eastAsia="Times New Roman" w:hAnsi="Arial" w:cs="Times New Roman"/>
      <w:szCs w:val="20"/>
    </w:rPr>
  </w:style>
  <w:style w:type="numbering" w:customStyle="1" w:styleId="Bezpopisa1">
    <w:name w:val="Bez popisa1"/>
    <w:next w:val="NoList"/>
    <w:uiPriority w:val="99"/>
    <w:semiHidden/>
    <w:unhideWhenUsed/>
    <w:rsid w:val="00CE4102"/>
  </w:style>
  <w:style w:type="character" w:styleId="Strong">
    <w:name w:val="Strong"/>
    <w:uiPriority w:val="99"/>
    <w:qFormat/>
    <w:rsid w:val="00CE4102"/>
    <w:rPr>
      <w:b/>
      <w:bCs/>
    </w:rPr>
  </w:style>
  <w:style w:type="table" w:customStyle="1" w:styleId="TableGrid1">
    <w:name w:val="Table Grid1"/>
    <w:basedOn w:val="TableNormal"/>
    <w:next w:val="TableGrid"/>
    <w:uiPriority w:val="39"/>
    <w:rsid w:val="00506953"/>
    <w:pPr>
      <w:spacing w:after="0" w:line="240" w:lineRule="auto"/>
    </w:pPr>
    <w:rPr>
      <w:rFonts w:eastAsia="Times New Roman" w:cs="Times New Roman"/>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06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281"/>
    <w:rPr>
      <w:color w:val="0563C1" w:themeColor="hyperlink"/>
      <w:u w:val="single"/>
    </w:rPr>
  </w:style>
  <w:style w:type="character" w:customStyle="1" w:styleId="UnresolvedMention">
    <w:name w:val="Unresolved Mention"/>
    <w:basedOn w:val="DefaultParagraphFont"/>
    <w:uiPriority w:val="99"/>
    <w:semiHidden/>
    <w:unhideWhenUsed/>
    <w:rsid w:val="00AA0281"/>
    <w:rPr>
      <w:color w:val="605E5C"/>
      <w:shd w:val="clear" w:color="auto" w:fill="E1DFDD"/>
    </w:rPr>
  </w:style>
  <w:style w:type="paragraph" w:styleId="BalloonText">
    <w:name w:val="Balloon Text"/>
    <w:basedOn w:val="Normal"/>
    <w:link w:val="BalloonTextChar"/>
    <w:uiPriority w:val="99"/>
    <w:semiHidden/>
    <w:unhideWhenUsed/>
    <w:rsid w:val="00942AE4"/>
    <w:rPr>
      <w:rFonts w:ascii="Tahoma" w:hAnsi="Tahoma" w:cs="Tahoma"/>
      <w:sz w:val="16"/>
      <w:szCs w:val="16"/>
    </w:rPr>
  </w:style>
  <w:style w:type="character" w:customStyle="1" w:styleId="BalloonTextChar">
    <w:name w:val="Balloon Text Char"/>
    <w:basedOn w:val="DefaultParagraphFont"/>
    <w:link w:val="BalloonText"/>
    <w:uiPriority w:val="99"/>
    <w:semiHidden/>
    <w:rsid w:val="00942A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48495">
      <w:bodyDiv w:val="1"/>
      <w:marLeft w:val="0"/>
      <w:marRight w:val="0"/>
      <w:marTop w:val="0"/>
      <w:marBottom w:val="0"/>
      <w:divBdr>
        <w:top w:val="none" w:sz="0" w:space="0" w:color="auto"/>
        <w:left w:val="none" w:sz="0" w:space="0" w:color="auto"/>
        <w:bottom w:val="none" w:sz="0" w:space="0" w:color="auto"/>
        <w:right w:val="none" w:sz="0" w:space="0" w:color="auto"/>
      </w:divBdr>
    </w:div>
    <w:div w:id="1663896512">
      <w:bodyDiv w:val="1"/>
      <w:marLeft w:val="0"/>
      <w:marRight w:val="0"/>
      <w:marTop w:val="0"/>
      <w:marBottom w:val="0"/>
      <w:divBdr>
        <w:top w:val="none" w:sz="0" w:space="0" w:color="auto"/>
        <w:left w:val="none" w:sz="0" w:space="0" w:color="auto"/>
        <w:bottom w:val="none" w:sz="0" w:space="0" w:color="auto"/>
        <w:right w:val="none" w:sz="0" w:space="0" w:color="auto"/>
      </w:divBdr>
    </w:div>
    <w:div w:id="1845431481">
      <w:bodyDiv w:val="1"/>
      <w:marLeft w:val="0"/>
      <w:marRight w:val="0"/>
      <w:marTop w:val="0"/>
      <w:marBottom w:val="0"/>
      <w:divBdr>
        <w:top w:val="none" w:sz="0" w:space="0" w:color="auto"/>
        <w:left w:val="none" w:sz="0" w:space="0" w:color="auto"/>
        <w:bottom w:val="none" w:sz="0" w:space="0" w:color="auto"/>
        <w:right w:val="none" w:sz="0" w:space="0" w:color="auto"/>
      </w:divBdr>
    </w:div>
    <w:div w:id="1920677863">
      <w:bodyDiv w:val="1"/>
      <w:marLeft w:val="0"/>
      <w:marRight w:val="0"/>
      <w:marTop w:val="0"/>
      <w:marBottom w:val="0"/>
      <w:divBdr>
        <w:top w:val="none" w:sz="0" w:space="0" w:color="auto"/>
        <w:left w:val="none" w:sz="0" w:space="0" w:color="auto"/>
        <w:bottom w:val="none" w:sz="0" w:space="0" w:color="auto"/>
        <w:right w:val="none" w:sz="0" w:space="0" w:color="auto"/>
      </w:divBdr>
    </w:div>
    <w:div w:id="19211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hyperlink" Target="http://www.bit.ly/3L28KC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667E-9EB6-4AFE-8E08-D378A17A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38</Pages>
  <Words>8885</Words>
  <Characters>50645</Characters>
  <Application>Microsoft Office Word</Application>
  <DocSecurity>0</DocSecurity>
  <Lines>422</Lines>
  <Paragraphs>118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Golja</dc:creator>
  <cp:keywords/>
  <dc:description/>
  <cp:lastModifiedBy>Milana V. Božović</cp:lastModifiedBy>
  <cp:revision>205</cp:revision>
  <cp:lastPrinted>2023-07-10T05:29:00Z</cp:lastPrinted>
  <dcterms:created xsi:type="dcterms:W3CDTF">2022-03-17T06:29:00Z</dcterms:created>
  <dcterms:modified xsi:type="dcterms:W3CDTF">2024-03-27T09:42:00Z</dcterms:modified>
</cp:coreProperties>
</file>